
<file path=[Content_Types].xml><?xml version="1.0" encoding="utf-8"?>
<Types xmlns="http://schemas.openxmlformats.org/package/2006/content-types">
  <Default Extension="pn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BAA15" w14:textId="2124194B" w:rsidR="007C609E" w:rsidRDefault="007C609E">
      <w:pPr>
        <w:jc w:val="center"/>
      </w:pPr>
    </w:p>
    <w:p w14:paraId="2978AA77" w14:textId="77777777" w:rsidR="007C609E" w:rsidRPr="006272F9" w:rsidRDefault="00000000" w:rsidP="006272F9">
      <w:pPr>
        <w:jc w:val="center"/>
        <w:rPr>
          <w:rFonts w:cs="Arial"/>
          <w:sz w:val="24"/>
          <w:szCs w:val="24"/>
        </w:rPr>
      </w:pPr>
      <w:r w:rsidRPr="006272F9">
        <w:rPr>
          <w:rFonts w:cs="Arial"/>
          <w:b/>
          <w:sz w:val="24"/>
          <w:szCs w:val="24"/>
        </w:rPr>
        <w:t>TERMO DE REFERÊNCIA – AQUISIÇÃO DE MOTOCICLETAS</w:t>
      </w:r>
    </w:p>
    <w:p w14:paraId="153071F9" w14:textId="77777777" w:rsidR="007C609E" w:rsidRDefault="00000000" w:rsidP="006272F9">
      <w:pPr>
        <w:jc w:val="center"/>
        <w:rPr>
          <w:rFonts w:cs="Arial"/>
          <w:b/>
          <w:sz w:val="24"/>
          <w:szCs w:val="24"/>
        </w:rPr>
      </w:pPr>
      <w:r w:rsidRPr="006272F9">
        <w:rPr>
          <w:rFonts w:cs="Arial"/>
          <w:b/>
          <w:sz w:val="24"/>
          <w:szCs w:val="24"/>
        </w:rPr>
        <w:t>PROCESSO ADMINISTRATIVO Nº 371/2026</w:t>
      </w:r>
    </w:p>
    <w:p w14:paraId="477EA09E" w14:textId="77777777" w:rsidR="006272F9" w:rsidRPr="006272F9" w:rsidRDefault="006272F9" w:rsidP="006272F9">
      <w:pPr>
        <w:jc w:val="center"/>
        <w:rPr>
          <w:rFonts w:cs="Arial"/>
          <w:sz w:val="24"/>
          <w:szCs w:val="24"/>
        </w:rPr>
      </w:pPr>
    </w:p>
    <w:p w14:paraId="7E910FA8"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1. CONDIÇÕES GERAIS DA CONTRATAÇÃO</w:t>
      </w:r>
    </w:p>
    <w:p w14:paraId="1E1294B2" w14:textId="77777777" w:rsidR="007C609E" w:rsidRPr="006272F9" w:rsidRDefault="00000000" w:rsidP="006272F9">
      <w:pPr>
        <w:jc w:val="both"/>
        <w:rPr>
          <w:rFonts w:cs="Arial"/>
          <w:sz w:val="24"/>
          <w:szCs w:val="24"/>
        </w:rPr>
      </w:pPr>
      <w:r w:rsidRPr="006272F9">
        <w:rPr>
          <w:rFonts w:cs="Arial"/>
          <w:sz w:val="24"/>
          <w:szCs w:val="24"/>
        </w:rPr>
        <w:t>Aquisição de 06 (seis) motocicletas novas, zero quilômetro, destinadas ao apoio logístico das ações da Atenção Primária à Saúde e da Vigilância em Saúde do Município de Barrolândia – TO, conforme os Planos de Trabalho das Emendas Parlamentares Estaduais nº 010422.00779/2026 e nº 010407.01577/2026.</w:t>
      </w:r>
    </w:p>
    <w:tbl>
      <w:tblPr>
        <w:tblStyle w:val="Tabelacomgrade"/>
        <w:tblW w:w="10606" w:type="dxa"/>
        <w:jc w:val="center"/>
        <w:tblLook w:val="04A0" w:firstRow="1" w:lastRow="0" w:firstColumn="1" w:lastColumn="0" w:noHBand="0" w:noVBand="1"/>
      </w:tblPr>
      <w:tblGrid>
        <w:gridCol w:w="734"/>
        <w:gridCol w:w="1675"/>
        <w:gridCol w:w="1193"/>
        <w:gridCol w:w="3340"/>
        <w:gridCol w:w="1750"/>
        <w:gridCol w:w="1914"/>
      </w:tblGrid>
      <w:tr w:rsidR="006272F9" w:rsidRPr="006272F9" w14:paraId="1944127D" w14:textId="77777777" w:rsidTr="006272F9">
        <w:trPr>
          <w:jc w:val="center"/>
        </w:trPr>
        <w:tc>
          <w:tcPr>
            <w:tcW w:w="734" w:type="dxa"/>
            <w:shd w:val="clear" w:color="auto" w:fill="D9EAF7"/>
            <w:tcMar>
              <w:top w:w="80" w:type="dxa"/>
              <w:left w:w="80" w:type="dxa"/>
              <w:bottom w:w="80" w:type="dxa"/>
              <w:right w:w="80" w:type="dxa"/>
            </w:tcMar>
            <w:vAlign w:val="center"/>
          </w:tcPr>
          <w:p w14:paraId="49DF4376" w14:textId="6E443271" w:rsidR="006272F9" w:rsidRPr="006272F9" w:rsidRDefault="006272F9" w:rsidP="006272F9">
            <w:pPr>
              <w:jc w:val="center"/>
              <w:rPr>
                <w:rFonts w:cs="Arial"/>
                <w:b/>
                <w:sz w:val="24"/>
                <w:szCs w:val="24"/>
              </w:rPr>
            </w:pPr>
            <w:r w:rsidRPr="006272F9">
              <w:rPr>
                <w:rFonts w:cs="Arial"/>
                <w:b/>
                <w:sz w:val="24"/>
                <w:szCs w:val="24"/>
              </w:rPr>
              <w:t>ITEM</w:t>
            </w:r>
          </w:p>
        </w:tc>
        <w:tc>
          <w:tcPr>
            <w:tcW w:w="1675" w:type="dxa"/>
            <w:shd w:val="clear" w:color="auto" w:fill="D9EAF7"/>
            <w:tcMar>
              <w:top w:w="80" w:type="dxa"/>
              <w:left w:w="80" w:type="dxa"/>
              <w:bottom w:w="80" w:type="dxa"/>
              <w:right w:w="80" w:type="dxa"/>
            </w:tcMar>
            <w:vAlign w:val="center"/>
          </w:tcPr>
          <w:p w14:paraId="4D8B6770" w14:textId="21869D1F" w:rsidR="006272F9" w:rsidRPr="006272F9" w:rsidRDefault="006272F9" w:rsidP="006272F9">
            <w:pPr>
              <w:jc w:val="center"/>
              <w:rPr>
                <w:rFonts w:cs="Arial"/>
                <w:b/>
                <w:sz w:val="24"/>
                <w:szCs w:val="24"/>
              </w:rPr>
            </w:pPr>
            <w:r w:rsidRPr="006272F9">
              <w:rPr>
                <w:rFonts w:cs="Arial"/>
                <w:b/>
                <w:sz w:val="24"/>
                <w:szCs w:val="24"/>
              </w:rPr>
              <w:t>UNID</w:t>
            </w:r>
          </w:p>
        </w:tc>
        <w:tc>
          <w:tcPr>
            <w:tcW w:w="1193" w:type="dxa"/>
            <w:shd w:val="clear" w:color="auto" w:fill="D9EAF7"/>
          </w:tcPr>
          <w:p w14:paraId="5FF3E9FD" w14:textId="5C03771D" w:rsidR="006272F9" w:rsidRPr="006272F9" w:rsidRDefault="006272F9" w:rsidP="006272F9">
            <w:pPr>
              <w:jc w:val="center"/>
              <w:rPr>
                <w:rFonts w:cs="Arial"/>
                <w:b/>
                <w:sz w:val="24"/>
                <w:szCs w:val="24"/>
              </w:rPr>
            </w:pPr>
            <w:r w:rsidRPr="006272F9">
              <w:rPr>
                <w:rFonts w:cs="Arial"/>
                <w:b/>
                <w:sz w:val="24"/>
                <w:szCs w:val="24"/>
              </w:rPr>
              <w:t>QTD.</w:t>
            </w:r>
          </w:p>
        </w:tc>
        <w:tc>
          <w:tcPr>
            <w:tcW w:w="3340" w:type="dxa"/>
            <w:shd w:val="clear" w:color="auto" w:fill="D9EAF7"/>
            <w:tcMar>
              <w:top w:w="80" w:type="dxa"/>
              <w:left w:w="80" w:type="dxa"/>
              <w:bottom w:w="80" w:type="dxa"/>
              <w:right w:w="80" w:type="dxa"/>
            </w:tcMar>
            <w:vAlign w:val="center"/>
          </w:tcPr>
          <w:p w14:paraId="780C050E" w14:textId="173C8C50" w:rsidR="006272F9" w:rsidRPr="006272F9" w:rsidRDefault="006272F9" w:rsidP="006272F9">
            <w:pPr>
              <w:jc w:val="both"/>
              <w:rPr>
                <w:rFonts w:cs="Arial"/>
                <w:b/>
                <w:sz w:val="24"/>
                <w:szCs w:val="24"/>
              </w:rPr>
            </w:pPr>
            <w:r w:rsidRPr="006272F9">
              <w:rPr>
                <w:rFonts w:cs="Arial"/>
                <w:b/>
                <w:sz w:val="24"/>
                <w:szCs w:val="24"/>
              </w:rPr>
              <w:t>ESPECIFICAÇÃO MÍNIMA</w:t>
            </w:r>
          </w:p>
        </w:tc>
        <w:tc>
          <w:tcPr>
            <w:tcW w:w="1750" w:type="dxa"/>
            <w:shd w:val="clear" w:color="auto" w:fill="D9EAF7"/>
            <w:tcMar>
              <w:top w:w="80" w:type="dxa"/>
              <w:left w:w="80" w:type="dxa"/>
              <w:bottom w:w="80" w:type="dxa"/>
              <w:right w:w="80" w:type="dxa"/>
            </w:tcMar>
            <w:vAlign w:val="center"/>
          </w:tcPr>
          <w:p w14:paraId="0AEC194E" w14:textId="7935E1D5" w:rsidR="006272F9" w:rsidRPr="006272F9" w:rsidRDefault="006272F9" w:rsidP="006272F9">
            <w:pPr>
              <w:jc w:val="both"/>
              <w:rPr>
                <w:rFonts w:cs="Arial"/>
                <w:b/>
                <w:sz w:val="24"/>
                <w:szCs w:val="24"/>
              </w:rPr>
            </w:pPr>
            <w:r w:rsidRPr="006272F9">
              <w:rPr>
                <w:rFonts w:cs="Arial"/>
                <w:b/>
                <w:sz w:val="24"/>
                <w:szCs w:val="24"/>
              </w:rPr>
              <w:t>VALOR REF. UNIT.</w:t>
            </w:r>
          </w:p>
        </w:tc>
        <w:tc>
          <w:tcPr>
            <w:tcW w:w="1914" w:type="dxa"/>
            <w:shd w:val="clear" w:color="auto" w:fill="D9EAF7"/>
            <w:tcMar>
              <w:top w:w="80" w:type="dxa"/>
              <w:left w:w="80" w:type="dxa"/>
              <w:bottom w:w="80" w:type="dxa"/>
              <w:right w:w="80" w:type="dxa"/>
            </w:tcMar>
            <w:vAlign w:val="center"/>
          </w:tcPr>
          <w:p w14:paraId="1E937033" w14:textId="75375FAA" w:rsidR="006272F9" w:rsidRPr="006272F9" w:rsidRDefault="006272F9" w:rsidP="006272F9">
            <w:pPr>
              <w:jc w:val="both"/>
              <w:rPr>
                <w:rFonts w:cs="Arial"/>
                <w:b/>
                <w:sz w:val="24"/>
                <w:szCs w:val="24"/>
              </w:rPr>
            </w:pPr>
            <w:r w:rsidRPr="006272F9">
              <w:rPr>
                <w:rFonts w:cs="Arial"/>
                <w:b/>
                <w:sz w:val="24"/>
                <w:szCs w:val="24"/>
              </w:rPr>
              <w:t>VALOR REF. TOTAL</w:t>
            </w:r>
          </w:p>
        </w:tc>
      </w:tr>
      <w:tr w:rsidR="006272F9" w:rsidRPr="006272F9" w14:paraId="24DE93A7" w14:textId="77777777" w:rsidTr="006272F9">
        <w:trPr>
          <w:jc w:val="center"/>
        </w:trPr>
        <w:tc>
          <w:tcPr>
            <w:tcW w:w="734" w:type="dxa"/>
            <w:tcMar>
              <w:top w:w="80" w:type="dxa"/>
              <w:left w:w="80" w:type="dxa"/>
              <w:bottom w:w="80" w:type="dxa"/>
              <w:right w:w="80" w:type="dxa"/>
            </w:tcMar>
            <w:vAlign w:val="center"/>
          </w:tcPr>
          <w:p w14:paraId="6385F1F4" w14:textId="77777777" w:rsidR="006272F9" w:rsidRPr="006272F9" w:rsidRDefault="006272F9" w:rsidP="006272F9">
            <w:pPr>
              <w:jc w:val="both"/>
              <w:rPr>
                <w:rFonts w:cs="Arial"/>
                <w:sz w:val="24"/>
                <w:szCs w:val="24"/>
              </w:rPr>
            </w:pPr>
            <w:r w:rsidRPr="006272F9">
              <w:rPr>
                <w:rFonts w:cs="Arial"/>
                <w:sz w:val="24"/>
                <w:szCs w:val="24"/>
              </w:rPr>
              <w:t>1</w:t>
            </w:r>
          </w:p>
        </w:tc>
        <w:tc>
          <w:tcPr>
            <w:tcW w:w="1675" w:type="dxa"/>
            <w:tcMar>
              <w:top w:w="80" w:type="dxa"/>
              <w:left w:w="80" w:type="dxa"/>
              <w:bottom w:w="80" w:type="dxa"/>
              <w:right w:w="80" w:type="dxa"/>
            </w:tcMar>
            <w:vAlign w:val="center"/>
          </w:tcPr>
          <w:p w14:paraId="2AB04B2F" w14:textId="37265871" w:rsidR="006272F9" w:rsidRPr="006272F9" w:rsidRDefault="006272F9" w:rsidP="006272F9">
            <w:pPr>
              <w:jc w:val="both"/>
              <w:rPr>
                <w:rFonts w:cs="Arial"/>
                <w:sz w:val="24"/>
                <w:szCs w:val="24"/>
              </w:rPr>
            </w:pPr>
            <w:r>
              <w:rPr>
                <w:rFonts w:cs="Arial"/>
                <w:sz w:val="24"/>
                <w:szCs w:val="24"/>
              </w:rPr>
              <w:t>02</w:t>
            </w:r>
          </w:p>
        </w:tc>
        <w:tc>
          <w:tcPr>
            <w:tcW w:w="1193" w:type="dxa"/>
          </w:tcPr>
          <w:p w14:paraId="49327B78" w14:textId="77777777" w:rsidR="006272F9" w:rsidRPr="006272F9" w:rsidRDefault="006272F9" w:rsidP="006272F9">
            <w:pPr>
              <w:jc w:val="both"/>
              <w:rPr>
                <w:rFonts w:cs="Arial"/>
                <w:sz w:val="24"/>
                <w:szCs w:val="24"/>
              </w:rPr>
            </w:pPr>
          </w:p>
        </w:tc>
        <w:tc>
          <w:tcPr>
            <w:tcW w:w="3340" w:type="dxa"/>
            <w:tcMar>
              <w:top w:w="80" w:type="dxa"/>
              <w:left w:w="80" w:type="dxa"/>
              <w:bottom w:w="80" w:type="dxa"/>
              <w:right w:w="80" w:type="dxa"/>
            </w:tcMar>
            <w:vAlign w:val="center"/>
          </w:tcPr>
          <w:p w14:paraId="48410558" w14:textId="6D251EA3" w:rsidR="006272F9" w:rsidRPr="006272F9" w:rsidRDefault="006272F9" w:rsidP="006272F9">
            <w:pPr>
              <w:jc w:val="both"/>
              <w:rPr>
                <w:rFonts w:cs="Arial"/>
                <w:sz w:val="24"/>
                <w:szCs w:val="24"/>
              </w:rPr>
            </w:pPr>
            <w:r w:rsidRPr="006272F9">
              <w:rPr>
                <w:rFonts w:cs="Arial"/>
                <w:sz w:val="24"/>
                <w:szCs w:val="24"/>
              </w:rPr>
              <w:t xml:space="preserve">Motocicleta nova, zero quilômetro, ano/modelo </w:t>
            </w:r>
            <w:r w:rsidR="00592684">
              <w:rPr>
                <w:rFonts w:cs="Arial"/>
                <w:sz w:val="24"/>
                <w:szCs w:val="24"/>
              </w:rPr>
              <w:t>2026</w:t>
            </w:r>
            <w:r w:rsidRPr="006272F9">
              <w:rPr>
                <w:rFonts w:cs="Arial"/>
                <w:sz w:val="24"/>
                <w:szCs w:val="24"/>
              </w:rPr>
              <w:t xml:space="preserve"> ou superior; motor monocilíndrico, 4 tempos; cilindrada mínima de 150 cm³; injeção eletrônica; combustível flex; partida elétrica; transmissão manual; freio dianteiro a disco; sistema antitravamento ABS; suspensão e pneus adequados ao uso misto urbano/rural; capacidade para condutor e passageiro; painel com velocímetro, hodômetro e indicador de combustível; iluminação e equipamentos obrigatórios; 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45DABE36" w14:textId="77777777" w:rsidR="006272F9" w:rsidRPr="006272F9" w:rsidRDefault="006272F9" w:rsidP="006272F9">
            <w:pPr>
              <w:jc w:val="both"/>
              <w:rPr>
                <w:rFonts w:cs="Arial"/>
                <w:sz w:val="24"/>
                <w:szCs w:val="24"/>
              </w:rPr>
            </w:pPr>
            <w:r w:rsidRPr="006272F9">
              <w:rPr>
                <w:rFonts w:cs="Arial"/>
                <w:sz w:val="24"/>
                <w:szCs w:val="24"/>
              </w:rPr>
              <w:t>R$ 24.701,51</w:t>
            </w:r>
          </w:p>
        </w:tc>
        <w:tc>
          <w:tcPr>
            <w:tcW w:w="1914" w:type="dxa"/>
            <w:tcMar>
              <w:top w:w="80" w:type="dxa"/>
              <w:left w:w="80" w:type="dxa"/>
              <w:bottom w:w="80" w:type="dxa"/>
              <w:right w:w="80" w:type="dxa"/>
            </w:tcMar>
            <w:vAlign w:val="center"/>
          </w:tcPr>
          <w:p w14:paraId="73BFEC71" w14:textId="77777777" w:rsidR="006272F9" w:rsidRPr="006272F9" w:rsidRDefault="006272F9" w:rsidP="006272F9">
            <w:pPr>
              <w:jc w:val="both"/>
              <w:rPr>
                <w:rFonts w:cs="Arial"/>
                <w:sz w:val="24"/>
                <w:szCs w:val="24"/>
              </w:rPr>
            </w:pPr>
            <w:r w:rsidRPr="006272F9">
              <w:rPr>
                <w:rFonts w:cs="Arial"/>
                <w:sz w:val="24"/>
                <w:szCs w:val="24"/>
              </w:rPr>
              <w:t>R$ 49.403,02</w:t>
            </w:r>
          </w:p>
        </w:tc>
      </w:tr>
      <w:tr w:rsidR="006272F9" w:rsidRPr="006272F9" w14:paraId="6CDD8DFD" w14:textId="77777777" w:rsidTr="006272F9">
        <w:trPr>
          <w:jc w:val="center"/>
        </w:trPr>
        <w:tc>
          <w:tcPr>
            <w:tcW w:w="734" w:type="dxa"/>
            <w:tcMar>
              <w:top w:w="80" w:type="dxa"/>
              <w:left w:w="80" w:type="dxa"/>
              <w:bottom w:w="80" w:type="dxa"/>
              <w:right w:w="80" w:type="dxa"/>
            </w:tcMar>
            <w:vAlign w:val="center"/>
          </w:tcPr>
          <w:p w14:paraId="09D33707" w14:textId="77777777" w:rsidR="006272F9" w:rsidRPr="006272F9" w:rsidRDefault="006272F9" w:rsidP="006272F9">
            <w:pPr>
              <w:jc w:val="both"/>
              <w:rPr>
                <w:rFonts w:cs="Arial"/>
                <w:sz w:val="24"/>
                <w:szCs w:val="24"/>
              </w:rPr>
            </w:pPr>
            <w:r w:rsidRPr="006272F9">
              <w:rPr>
                <w:rFonts w:cs="Arial"/>
                <w:sz w:val="24"/>
                <w:szCs w:val="24"/>
              </w:rPr>
              <w:t>2</w:t>
            </w:r>
          </w:p>
        </w:tc>
        <w:tc>
          <w:tcPr>
            <w:tcW w:w="1675" w:type="dxa"/>
            <w:tcMar>
              <w:top w:w="80" w:type="dxa"/>
              <w:left w:w="80" w:type="dxa"/>
              <w:bottom w:w="80" w:type="dxa"/>
              <w:right w:w="80" w:type="dxa"/>
            </w:tcMar>
            <w:vAlign w:val="center"/>
          </w:tcPr>
          <w:p w14:paraId="27FDAC00" w14:textId="3B94519A" w:rsidR="006272F9" w:rsidRPr="006272F9" w:rsidRDefault="006272F9" w:rsidP="006272F9">
            <w:pPr>
              <w:jc w:val="both"/>
              <w:rPr>
                <w:rFonts w:cs="Arial"/>
                <w:sz w:val="24"/>
                <w:szCs w:val="24"/>
              </w:rPr>
            </w:pPr>
            <w:r>
              <w:rPr>
                <w:rFonts w:cs="Arial"/>
                <w:sz w:val="24"/>
                <w:szCs w:val="24"/>
              </w:rPr>
              <w:t>01</w:t>
            </w:r>
          </w:p>
        </w:tc>
        <w:tc>
          <w:tcPr>
            <w:tcW w:w="1193" w:type="dxa"/>
          </w:tcPr>
          <w:p w14:paraId="0C185FB9" w14:textId="77777777" w:rsidR="006272F9" w:rsidRPr="006272F9" w:rsidRDefault="006272F9" w:rsidP="006272F9">
            <w:pPr>
              <w:jc w:val="both"/>
              <w:rPr>
                <w:rFonts w:cs="Arial"/>
                <w:sz w:val="24"/>
                <w:szCs w:val="24"/>
              </w:rPr>
            </w:pPr>
          </w:p>
        </w:tc>
        <w:tc>
          <w:tcPr>
            <w:tcW w:w="3340" w:type="dxa"/>
            <w:tcMar>
              <w:top w:w="80" w:type="dxa"/>
              <w:left w:w="80" w:type="dxa"/>
              <w:bottom w:w="80" w:type="dxa"/>
              <w:right w:w="80" w:type="dxa"/>
            </w:tcMar>
            <w:vAlign w:val="center"/>
          </w:tcPr>
          <w:p w14:paraId="49BC4488" w14:textId="7F7D9875" w:rsidR="006272F9" w:rsidRPr="006272F9" w:rsidRDefault="006272F9" w:rsidP="006272F9">
            <w:pPr>
              <w:jc w:val="both"/>
              <w:rPr>
                <w:rFonts w:cs="Arial"/>
                <w:sz w:val="24"/>
                <w:szCs w:val="24"/>
              </w:rPr>
            </w:pPr>
            <w:r w:rsidRPr="006272F9">
              <w:rPr>
                <w:rFonts w:cs="Arial"/>
                <w:sz w:val="24"/>
                <w:szCs w:val="24"/>
              </w:rPr>
              <w:t xml:space="preserve">Motocicleta nova, zero </w:t>
            </w:r>
            <w:r w:rsidRPr="006272F9">
              <w:rPr>
                <w:rFonts w:cs="Arial"/>
                <w:sz w:val="24"/>
                <w:szCs w:val="24"/>
              </w:rPr>
              <w:lastRenderedPageBreak/>
              <w:t xml:space="preserve">quilômetro, ano/modelo </w:t>
            </w:r>
            <w:r w:rsidR="00592684">
              <w:rPr>
                <w:rFonts w:cs="Arial"/>
                <w:sz w:val="24"/>
                <w:szCs w:val="24"/>
              </w:rPr>
              <w:t>2026</w:t>
            </w:r>
            <w:r w:rsidRPr="006272F9">
              <w:rPr>
                <w:rFonts w:cs="Arial"/>
                <w:sz w:val="24"/>
                <w:szCs w:val="24"/>
              </w:rPr>
              <w:t xml:space="preserve"> ou superior; motor monocilíndrico, 4 tempos; cilindrada mínima de 150 cm³; injeção eletrônica; combustível flex; partida elétrica; transmissão manual; sistema de frenagem compatível com a legislação vigente, CBS ou tecnologia superior; capacidade para condutor e passageiro; painel com velocímetro, hodômetro e indicador de combustível; iluminação e equipamentos obrigatórios; 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02F320F1" w14:textId="77777777" w:rsidR="006272F9" w:rsidRPr="006272F9" w:rsidRDefault="006272F9" w:rsidP="006272F9">
            <w:pPr>
              <w:jc w:val="both"/>
              <w:rPr>
                <w:rFonts w:cs="Arial"/>
                <w:sz w:val="24"/>
                <w:szCs w:val="24"/>
              </w:rPr>
            </w:pPr>
            <w:r w:rsidRPr="006272F9">
              <w:rPr>
                <w:rFonts w:cs="Arial"/>
                <w:sz w:val="24"/>
                <w:szCs w:val="24"/>
              </w:rPr>
              <w:lastRenderedPageBreak/>
              <w:t>R$ 20.745,00</w:t>
            </w:r>
          </w:p>
        </w:tc>
        <w:tc>
          <w:tcPr>
            <w:tcW w:w="1914" w:type="dxa"/>
            <w:tcMar>
              <w:top w:w="80" w:type="dxa"/>
              <w:left w:w="80" w:type="dxa"/>
              <w:bottom w:w="80" w:type="dxa"/>
              <w:right w:w="80" w:type="dxa"/>
            </w:tcMar>
            <w:vAlign w:val="center"/>
          </w:tcPr>
          <w:p w14:paraId="444381F6" w14:textId="77777777" w:rsidR="006272F9" w:rsidRPr="006272F9" w:rsidRDefault="006272F9" w:rsidP="006272F9">
            <w:pPr>
              <w:jc w:val="both"/>
              <w:rPr>
                <w:rFonts w:cs="Arial"/>
                <w:sz w:val="24"/>
                <w:szCs w:val="24"/>
              </w:rPr>
            </w:pPr>
            <w:r w:rsidRPr="006272F9">
              <w:rPr>
                <w:rFonts w:cs="Arial"/>
                <w:sz w:val="24"/>
                <w:szCs w:val="24"/>
              </w:rPr>
              <w:t>R$ 20.745,00</w:t>
            </w:r>
          </w:p>
        </w:tc>
      </w:tr>
      <w:tr w:rsidR="006272F9" w:rsidRPr="006272F9" w14:paraId="5FB6103D" w14:textId="77777777" w:rsidTr="006272F9">
        <w:trPr>
          <w:jc w:val="center"/>
        </w:trPr>
        <w:tc>
          <w:tcPr>
            <w:tcW w:w="734" w:type="dxa"/>
            <w:tcMar>
              <w:top w:w="80" w:type="dxa"/>
              <w:left w:w="80" w:type="dxa"/>
              <w:bottom w:w="80" w:type="dxa"/>
              <w:right w:w="80" w:type="dxa"/>
            </w:tcMar>
            <w:vAlign w:val="center"/>
          </w:tcPr>
          <w:p w14:paraId="0A9D08AB" w14:textId="77777777" w:rsidR="006272F9" w:rsidRPr="006272F9" w:rsidRDefault="006272F9" w:rsidP="006272F9">
            <w:pPr>
              <w:jc w:val="both"/>
              <w:rPr>
                <w:rFonts w:cs="Arial"/>
                <w:sz w:val="24"/>
                <w:szCs w:val="24"/>
              </w:rPr>
            </w:pPr>
            <w:r w:rsidRPr="006272F9">
              <w:rPr>
                <w:rFonts w:cs="Arial"/>
                <w:sz w:val="24"/>
                <w:szCs w:val="24"/>
              </w:rPr>
              <w:t>3</w:t>
            </w:r>
          </w:p>
        </w:tc>
        <w:tc>
          <w:tcPr>
            <w:tcW w:w="1675" w:type="dxa"/>
            <w:tcMar>
              <w:top w:w="80" w:type="dxa"/>
              <w:left w:w="80" w:type="dxa"/>
              <w:bottom w:w="80" w:type="dxa"/>
              <w:right w:w="80" w:type="dxa"/>
            </w:tcMar>
            <w:vAlign w:val="center"/>
          </w:tcPr>
          <w:p w14:paraId="62B243FB" w14:textId="37F6A13D" w:rsidR="006272F9" w:rsidRPr="006272F9" w:rsidRDefault="006272F9" w:rsidP="006272F9">
            <w:pPr>
              <w:jc w:val="both"/>
              <w:rPr>
                <w:rFonts w:cs="Arial"/>
                <w:sz w:val="24"/>
                <w:szCs w:val="24"/>
              </w:rPr>
            </w:pPr>
            <w:r>
              <w:rPr>
                <w:rFonts w:cs="Arial"/>
                <w:sz w:val="24"/>
                <w:szCs w:val="24"/>
              </w:rPr>
              <w:t>01</w:t>
            </w:r>
          </w:p>
        </w:tc>
        <w:tc>
          <w:tcPr>
            <w:tcW w:w="1193" w:type="dxa"/>
          </w:tcPr>
          <w:p w14:paraId="57CA96BE" w14:textId="77777777" w:rsidR="006272F9" w:rsidRPr="006272F9" w:rsidRDefault="006272F9" w:rsidP="006272F9">
            <w:pPr>
              <w:jc w:val="both"/>
              <w:rPr>
                <w:rFonts w:cs="Arial"/>
                <w:sz w:val="24"/>
                <w:szCs w:val="24"/>
              </w:rPr>
            </w:pPr>
          </w:p>
        </w:tc>
        <w:tc>
          <w:tcPr>
            <w:tcW w:w="3340" w:type="dxa"/>
            <w:tcMar>
              <w:top w:w="80" w:type="dxa"/>
              <w:left w:w="80" w:type="dxa"/>
              <w:bottom w:w="80" w:type="dxa"/>
              <w:right w:w="80" w:type="dxa"/>
            </w:tcMar>
            <w:vAlign w:val="center"/>
          </w:tcPr>
          <w:p w14:paraId="6BE6CF5E" w14:textId="4AB2C8D2" w:rsidR="006272F9" w:rsidRPr="006272F9" w:rsidRDefault="006272F9" w:rsidP="006272F9">
            <w:pPr>
              <w:jc w:val="both"/>
              <w:rPr>
                <w:rFonts w:cs="Arial"/>
                <w:sz w:val="24"/>
                <w:szCs w:val="24"/>
              </w:rPr>
            </w:pPr>
            <w:r w:rsidRPr="006272F9">
              <w:rPr>
                <w:rFonts w:cs="Arial"/>
                <w:sz w:val="24"/>
                <w:szCs w:val="24"/>
              </w:rPr>
              <w:t xml:space="preserve">Motocicleta nova, zero quilômetro, ano/modelo </w:t>
            </w:r>
            <w:r w:rsidR="00592684">
              <w:rPr>
                <w:rFonts w:cs="Arial"/>
                <w:sz w:val="24"/>
                <w:szCs w:val="24"/>
              </w:rPr>
              <w:t>2026</w:t>
            </w:r>
            <w:r w:rsidRPr="006272F9">
              <w:rPr>
                <w:rFonts w:cs="Arial"/>
                <w:sz w:val="24"/>
                <w:szCs w:val="24"/>
              </w:rPr>
              <w:t xml:space="preserve"> ou superior; motor monocilíndrico, 4 tempos; cilindrada mínima de 160 cm³; potência mínima de 14 CV; injeção eletrônica; combustível flex; partida elétrica; transmissão mecânica de 5 velocidades; freio dianteiro a disco; freio traseiro a tambor ou sistema equivalente; frenagem combinada CBS ou tecnologia equivalente/superior; suspensão dianteira telescópica de longo curso; </w:t>
            </w:r>
            <w:r w:rsidRPr="006272F9">
              <w:rPr>
                <w:rFonts w:cs="Arial"/>
                <w:sz w:val="24"/>
                <w:szCs w:val="24"/>
              </w:rPr>
              <w:lastRenderedPageBreak/>
              <w:t>suspensão traseira com duplo amortecedor de longo curso ou equivalente; rodas raiadas ou equivalentes de alta resistência; pneus de uso misto; distância do solo compatível com estradas vicinais; tanque com capacidade mínima de 12 litros; painel digital ou multifuncional; capacidade para condutor e passageiro; 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09942F9F" w14:textId="77777777" w:rsidR="006272F9" w:rsidRPr="006272F9" w:rsidRDefault="006272F9" w:rsidP="006272F9">
            <w:pPr>
              <w:jc w:val="both"/>
              <w:rPr>
                <w:rFonts w:cs="Arial"/>
                <w:sz w:val="24"/>
                <w:szCs w:val="24"/>
              </w:rPr>
            </w:pPr>
            <w:r w:rsidRPr="006272F9">
              <w:rPr>
                <w:rFonts w:cs="Arial"/>
                <w:sz w:val="24"/>
                <w:szCs w:val="24"/>
              </w:rPr>
              <w:lastRenderedPageBreak/>
              <w:t>R$ 24.701,51</w:t>
            </w:r>
          </w:p>
        </w:tc>
        <w:tc>
          <w:tcPr>
            <w:tcW w:w="1914" w:type="dxa"/>
            <w:tcMar>
              <w:top w:w="80" w:type="dxa"/>
              <w:left w:w="80" w:type="dxa"/>
              <w:bottom w:w="80" w:type="dxa"/>
              <w:right w:w="80" w:type="dxa"/>
            </w:tcMar>
            <w:vAlign w:val="center"/>
          </w:tcPr>
          <w:p w14:paraId="14F3955F" w14:textId="77777777" w:rsidR="006272F9" w:rsidRPr="006272F9" w:rsidRDefault="006272F9" w:rsidP="006272F9">
            <w:pPr>
              <w:jc w:val="both"/>
              <w:rPr>
                <w:rFonts w:cs="Arial"/>
                <w:sz w:val="24"/>
                <w:szCs w:val="24"/>
              </w:rPr>
            </w:pPr>
            <w:r w:rsidRPr="006272F9">
              <w:rPr>
                <w:rFonts w:cs="Arial"/>
                <w:sz w:val="24"/>
                <w:szCs w:val="24"/>
              </w:rPr>
              <w:t>R$ 24.701,51</w:t>
            </w:r>
          </w:p>
        </w:tc>
      </w:tr>
      <w:tr w:rsidR="006272F9" w:rsidRPr="006272F9" w14:paraId="5534F18F" w14:textId="77777777" w:rsidTr="006272F9">
        <w:trPr>
          <w:jc w:val="center"/>
        </w:trPr>
        <w:tc>
          <w:tcPr>
            <w:tcW w:w="734" w:type="dxa"/>
            <w:tcMar>
              <w:top w:w="80" w:type="dxa"/>
              <w:left w:w="80" w:type="dxa"/>
              <w:bottom w:w="80" w:type="dxa"/>
              <w:right w:w="80" w:type="dxa"/>
            </w:tcMar>
            <w:vAlign w:val="center"/>
          </w:tcPr>
          <w:p w14:paraId="6699CCE0" w14:textId="77777777" w:rsidR="006272F9" w:rsidRPr="006272F9" w:rsidRDefault="006272F9" w:rsidP="006272F9">
            <w:pPr>
              <w:jc w:val="both"/>
              <w:rPr>
                <w:rFonts w:cs="Arial"/>
                <w:sz w:val="24"/>
                <w:szCs w:val="24"/>
              </w:rPr>
            </w:pPr>
            <w:r w:rsidRPr="006272F9">
              <w:rPr>
                <w:rFonts w:cs="Arial"/>
                <w:sz w:val="24"/>
                <w:szCs w:val="24"/>
              </w:rPr>
              <w:t>4</w:t>
            </w:r>
          </w:p>
        </w:tc>
        <w:tc>
          <w:tcPr>
            <w:tcW w:w="1675" w:type="dxa"/>
            <w:tcMar>
              <w:top w:w="80" w:type="dxa"/>
              <w:left w:w="80" w:type="dxa"/>
              <w:bottom w:w="80" w:type="dxa"/>
              <w:right w:w="80" w:type="dxa"/>
            </w:tcMar>
            <w:vAlign w:val="center"/>
          </w:tcPr>
          <w:p w14:paraId="2D8D1684" w14:textId="232C80DE" w:rsidR="006272F9" w:rsidRPr="006272F9" w:rsidRDefault="006272F9" w:rsidP="006272F9">
            <w:pPr>
              <w:jc w:val="both"/>
              <w:rPr>
                <w:rFonts w:cs="Arial"/>
                <w:sz w:val="24"/>
                <w:szCs w:val="24"/>
              </w:rPr>
            </w:pPr>
            <w:r>
              <w:rPr>
                <w:rFonts w:cs="Arial"/>
                <w:sz w:val="24"/>
                <w:szCs w:val="24"/>
              </w:rPr>
              <w:t>02</w:t>
            </w:r>
          </w:p>
        </w:tc>
        <w:tc>
          <w:tcPr>
            <w:tcW w:w="1193" w:type="dxa"/>
          </w:tcPr>
          <w:p w14:paraId="0885CDC8" w14:textId="77777777" w:rsidR="006272F9" w:rsidRPr="006272F9" w:rsidRDefault="006272F9" w:rsidP="006272F9">
            <w:pPr>
              <w:jc w:val="both"/>
              <w:rPr>
                <w:rFonts w:cs="Arial"/>
                <w:sz w:val="24"/>
                <w:szCs w:val="24"/>
              </w:rPr>
            </w:pPr>
          </w:p>
        </w:tc>
        <w:tc>
          <w:tcPr>
            <w:tcW w:w="3340" w:type="dxa"/>
            <w:tcMar>
              <w:top w:w="80" w:type="dxa"/>
              <w:left w:w="80" w:type="dxa"/>
              <w:bottom w:w="80" w:type="dxa"/>
              <w:right w:w="80" w:type="dxa"/>
            </w:tcMar>
            <w:vAlign w:val="center"/>
          </w:tcPr>
          <w:p w14:paraId="18A58E90" w14:textId="3C8D96D4" w:rsidR="006272F9" w:rsidRPr="006272F9" w:rsidRDefault="006272F9" w:rsidP="006272F9">
            <w:pPr>
              <w:jc w:val="both"/>
              <w:rPr>
                <w:rFonts w:cs="Arial"/>
                <w:sz w:val="24"/>
                <w:szCs w:val="24"/>
              </w:rPr>
            </w:pPr>
            <w:r w:rsidRPr="006272F9">
              <w:rPr>
                <w:rFonts w:cs="Arial"/>
                <w:sz w:val="24"/>
                <w:szCs w:val="24"/>
              </w:rPr>
              <w:t xml:space="preserve">Motocicleta nova, zero quilômetro, ano/modelo </w:t>
            </w:r>
            <w:r w:rsidR="00592684">
              <w:rPr>
                <w:rFonts w:cs="Arial"/>
                <w:sz w:val="24"/>
                <w:szCs w:val="24"/>
              </w:rPr>
              <w:t xml:space="preserve">2026 </w:t>
            </w:r>
            <w:r w:rsidRPr="006272F9">
              <w:rPr>
                <w:rFonts w:cs="Arial"/>
                <w:sz w:val="24"/>
                <w:szCs w:val="24"/>
              </w:rPr>
              <w:t xml:space="preserve">ou superior; motor monocilíndrico, 4 tempos; cilindrada mínima de 160 cm³; potência mínima de 14 CV; injeção eletrônica; combustível flex; partida elétrica; transmissão mecânica de 5 velocidades; freio dianteiro a disco; sistema de frenagem combinada CBS ou tecnologia equivalente/superior; suspensão dianteira telescópica; suspensão traseira com duplo amortecedor ou equivalente; rodas de liga leve ou equivalente; pneus </w:t>
            </w:r>
            <w:r w:rsidRPr="006272F9">
              <w:rPr>
                <w:rFonts w:cs="Arial"/>
                <w:sz w:val="24"/>
                <w:szCs w:val="24"/>
              </w:rPr>
              <w:lastRenderedPageBreak/>
              <w:t>adequados ao uso em vias urbanas e rurais; tanque com capacidade mínima de 14 litros; painel digital ou multifuncional; capacidade para condutor e passageiro; 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1309BF69" w14:textId="77777777" w:rsidR="006272F9" w:rsidRPr="006272F9" w:rsidRDefault="006272F9" w:rsidP="006272F9">
            <w:pPr>
              <w:jc w:val="both"/>
              <w:rPr>
                <w:rFonts w:cs="Arial"/>
                <w:sz w:val="24"/>
                <w:szCs w:val="24"/>
              </w:rPr>
            </w:pPr>
            <w:r w:rsidRPr="006272F9">
              <w:rPr>
                <w:rFonts w:cs="Arial"/>
                <w:sz w:val="24"/>
                <w:szCs w:val="24"/>
              </w:rPr>
              <w:lastRenderedPageBreak/>
              <w:t>R$ 27.122,50</w:t>
            </w:r>
          </w:p>
        </w:tc>
        <w:tc>
          <w:tcPr>
            <w:tcW w:w="1914" w:type="dxa"/>
            <w:tcMar>
              <w:top w:w="80" w:type="dxa"/>
              <w:left w:w="80" w:type="dxa"/>
              <w:bottom w:w="80" w:type="dxa"/>
              <w:right w:w="80" w:type="dxa"/>
            </w:tcMar>
            <w:vAlign w:val="center"/>
          </w:tcPr>
          <w:p w14:paraId="7800E3ED" w14:textId="77777777" w:rsidR="006272F9" w:rsidRPr="006272F9" w:rsidRDefault="006272F9" w:rsidP="006272F9">
            <w:pPr>
              <w:jc w:val="both"/>
              <w:rPr>
                <w:rFonts w:cs="Arial"/>
                <w:sz w:val="24"/>
                <w:szCs w:val="24"/>
              </w:rPr>
            </w:pPr>
            <w:r w:rsidRPr="006272F9">
              <w:rPr>
                <w:rFonts w:cs="Arial"/>
                <w:sz w:val="24"/>
                <w:szCs w:val="24"/>
              </w:rPr>
              <w:t>R$ 54.245,00</w:t>
            </w:r>
          </w:p>
        </w:tc>
      </w:tr>
    </w:tbl>
    <w:p w14:paraId="6B23DB88" w14:textId="77777777" w:rsidR="007C609E" w:rsidRPr="006272F9" w:rsidRDefault="007C609E" w:rsidP="006272F9">
      <w:pPr>
        <w:jc w:val="both"/>
        <w:rPr>
          <w:rFonts w:cs="Arial"/>
          <w:sz w:val="24"/>
          <w:szCs w:val="24"/>
        </w:rPr>
      </w:pPr>
    </w:p>
    <w:p w14:paraId="59A9CF6A" w14:textId="77777777" w:rsidR="007C609E" w:rsidRPr="00B82824" w:rsidRDefault="00000000" w:rsidP="006272F9">
      <w:pPr>
        <w:jc w:val="both"/>
        <w:rPr>
          <w:rFonts w:cs="Arial"/>
          <w:b/>
          <w:bCs/>
          <w:sz w:val="24"/>
          <w:szCs w:val="24"/>
        </w:rPr>
      </w:pPr>
      <w:r w:rsidRPr="00B82824">
        <w:rPr>
          <w:rFonts w:cs="Arial"/>
          <w:b/>
          <w:bCs/>
          <w:sz w:val="24"/>
          <w:szCs w:val="24"/>
        </w:rPr>
        <w:t>Valor global estimado: R$ 149.094,53.</w:t>
      </w:r>
    </w:p>
    <w:p w14:paraId="6286FBA2"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2. FUNDAMENTAÇÃO E DESCRIÇÃO DA NECESSIDADE</w:t>
      </w:r>
    </w:p>
    <w:p w14:paraId="6F7065CB" w14:textId="77777777" w:rsidR="007C609E" w:rsidRPr="006272F9" w:rsidRDefault="00000000" w:rsidP="006272F9">
      <w:pPr>
        <w:jc w:val="both"/>
        <w:rPr>
          <w:rFonts w:cs="Arial"/>
          <w:sz w:val="24"/>
          <w:szCs w:val="24"/>
        </w:rPr>
      </w:pPr>
      <w:r w:rsidRPr="006272F9">
        <w:rPr>
          <w:rFonts w:cs="Arial"/>
          <w:sz w:val="24"/>
          <w:szCs w:val="24"/>
        </w:rPr>
        <w:t>A contratação decorre da execução conjunta das Emendas Parlamentares Estaduais nº 010422.00779/2026, de autoria da Deputada Estadual Vanda Monteiro, e nº 010407.01577/2026, de autoria do Deputado Estadual Eduardo Mantoan, cada uma no valor de R$ 75.000,00. O total de recursos vinculados é de R$ 150.000,00 e o objeto físico total corresponde a 06 motocicletas.</w:t>
      </w:r>
    </w:p>
    <w:p w14:paraId="45FE04D2" w14:textId="77777777" w:rsidR="007C609E" w:rsidRPr="006272F9" w:rsidRDefault="00000000" w:rsidP="006272F9">
      <w:pPr>
        <w:jc w:val="both"/>
        <w:rPr>
          <w:rFonts w:cs="Arial"/>
          <w:sz w:val="24"/>
          <w:szCs w:val="24"/>
        </w:rPr>
      </w:pPr>
      <w:r w:rsidRPr="006272F9">
        <w:rPr>
          <w:rFonts w:cs="Arial"/>
          <w:sz w:val="24"/>
          <w:szCs w:val="24"/>
        </w:rPr>
        <w:t>A solução busca proporcionar maior mobilidade às equipes responsáveis por visitas domiciliares, acompanhamento de famílias, promoção e prevenção em saúde, vigilância epidemiológica, ambiental e controle de endemias, especialmente nas localidades mais distantes e de difícil acesso.</w:t>
      </w:r>
    </w:p>
    <w:p w14:paraId="3D0BD1AB"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3. REQUISITOS E REGRAS DE ACEITABILIDADE</w:t>
      </w:r>
    </w:p>
    <w:p w14:paraId="09775DBF" w14:textId="77777777" w:rsidR="007C609E" w:rsidRPr="006272F9" w:rsidRDefault="00000000" w:rsidP="006272F9">
      <w:pPr>
        <w:pStyle w:val="Commarcadores"/>
        <w:jc w:val="both"/>
        <w:rPr>
          <w:rFonts w:cs="Arial"/>
          <w:sz w:val="24"/>
          <w:szCs w:val="24"/>
        </w:rPr>
      </w:pPr>
      <w:r w:rsidRPr="006272F9">
        <w:rPr>
          <w:rFonts w:cs="Arial"/>
          <w:sz w:val="24"/>
          <w:szCs w:val="24"/>
        </w:rPr>
        <w:t>as especificações são mínimas e funcionais; não se admite exigência ou interpretação que importe preferência por marca ou modelo;</w:t>
      </w:r>
    </w:p>
    <w:p w14:paraId="43542CF2" w14:textId="77777777" w:rsidR="007C609E" w:rsidRPr="006272F9" w:rsidRDefault="00000000" w:rsidP="006272F9">
      <w:pPr>
        <w:pStyle w:val="Commarcadores"/>
        <w:jc w:val="both"/>
        <w:rPr>
          <w:rFonts w:cs="Arial"/>
          <w:sz w:val="24"/>
          <w:szCs w:val="24"/>
        </w:rPr>
      </w:pPr>
      <w:r w:rsidRPr="006272F9">
        <w:rPr>
          <w:rFonts w:cs="Arial"/>
          <w:sz w:val="24"/>
          <w:szCs w:val="24"/>
        </w:rPr>
        <w:t>serão aceitas características superiores, desde que não alterem a natureza do objeto, não reduzam a competitividade e não gerem custo adicional;</w:t>
      </w:r>
    </w:p>
    <w:p w14:paraId="0F4D2179" w14:textId="77777777" w:rsidR="007C609E" w:rsidRPr="006272F9" w:rsidRDefault="00000000" w:rsidP="006272F9">
      <w:pPr>
        <w:pStyle w:val="Commarcadores"/>
        <w:jc w:val="both"/>
        <w:rPr>
          <w:rFonts w:cs="Arial"/>
          <w:sz w:val="24"/>
          <w:szCs w:val="24"/>
        </w:rPr>
      </w:pPr>
      <w:r w:rsidRPr="006272F9">
        <w:rPr>
          <w:rFonts w:cs="Arial"/>
          <w:sz w:val="24"/>
          <w:szCs w:val="24"/>
        </w:rPr>
        <w:t>a proposta deverá identificar marca, modelo, versão e ano/modelo, acompanhados de ficha técnica ou catálogo quando solicitado;</w:t>
      </w:r>
    </w:p>
    <w:p w14:paraId="1D09E578" w14:textId="77777777" w:rsidR="007C609E" w:rsidRPr="006272F9" w:rsidRDefault="00000000" w:rsidP="006272F9">
      <w:pPr>
        <w:pStyle w:val="Commarcadores"/>
        <w:jc w:val="both"/>
        <w:rPr>
          <w:rFonts w:cs="Arial"/>
          <w:sz w:val="24"/>
          <w:szCs w:val="24"/>
        </w:rPr>
      </w:pPr>
      <w:r w:rsidRPr="006272F9">
        <w:rPr>
          <w:rFonts w:cs="Arial"/>
          <w:sz w:val="24"/>
          <w:szCs w:val="24"/>
        </w:rPr>
        <w:t>os veículos deverão ser entregues sem uso anterior, com primeira titularidade em nome do ente indicado;</w:t>
      </w:r>
    </w:p>
    <w:p w14:paraId="1FB4DD26" w14:textId="77777777" w:rsidR="007C609E" w:rsidRPr="006272F9" w:rsidRDefault="00000000" w:rsidP="006272F9">
      <w:pPr>
        <w:pStyle w:val="Commarcadores"/>
        <w:jc w:val="both"/>
        <w:rPr>
          <w:rFonts w:cs="Arial"/>
          <w:sz w:val="24"/>
          <w:szCs w:val="24"/>
        </w:rPr>
      </w:pPr>
      <w:r w:rsidRPr="006272F9">
        <w:rPr>
          <w:rFonts w:cs="Arial"/>
          <w:sz w:val="24"/>
          <w:szCs w:val="24"/>
        </w:rPr>
        <w:t>todos os custos de frete, seguro, tributos, emplacamento, primeiro licenciamento, placas, taxas e demais despesas necessárias à entrega regular deverão integrar o preço;</w:t>
      </w:r>
    </w:p>
    <w:p w14:paraId="7894C940" w14:textId="77777777" w:rsidR="007C609E" w:rsidRPr="006272F9" w:rsidRDefault="00000000" w:rsidP="006272F9">
      <w:pPr>
        <w:pStyle w:val="Commarcadores"/>
        <w:jc w:val="both"/>
        <w:rPr>
          <w:rFonts w:cs="Arial"/>
          <w:sz w:val="24"/>
          <w:szCs w:val="24"/>
        </w:rPr>
      </w:pPr>
      <w:r w:rsidRPr="006272F9">
        <w:rPr>
          <w:rFonts w:cs="Arial"/>
          <w:sz w:val="24"/>
          <w:szCs w:val="24"/>
        </w:rPr>
        <w:t>garantia mínima de 12 meses, ou prazo superior do fabricante.</w:t>
      </w:r>
    </w:p>
    <w:p w14:paraId="7EF9A344" w14:textId="77777777" w:rsidR="007C609E" w:rsidRPr="006272F9" w:rsidRDefault="00000000" w:rsidP="006272F9">
      <w:pPr>
        <w:pStyle w:val="Ttulo1"/>
        <w:jc w:val="both"/>
        <w:rPr>
          <w:rFonts w:ascii="Arial" w:hAnsi="Arial" w:cs="Arial"/>
          <w:szCs w:val="24"/>
        </w:rPr>
      </w:pPr>
      <w:r w:rsidRPr="006272F9">
        <w:rPr>
          <w:rFonts w:ascii="Arial" w:hAnsi="Arial" w:cs="Arial"/>
          <w:szCs w:val="24"/>
        </w:rPr>
        <w:lastRenderedPageBreak/>
        <w:t>4. FORMA E CRITÉRIO DE SELEÇÃO</w:t>
      </w:r>
    </w:p>
    <w:p w14:paraId="49F97432" w14:textId="77777777" w:rsidR="007C609E" w:rsidRPr="006272F9" w:rsidRDefault="00000000" w:rsidP="006272F9">
      <w:pPr>
        <w:jc w:val="both"/>
        <w:rPr>
          <w:rFonts w:cs="Arial"/>
          <w:sz w:val="24"/>
          <w:szCs w:val="24"/>
        </w:rPr>
      </w:pPr>
      <w:r w:rsidRPr="006272F9">
        <w:rPr>
          <w:rFonts w:cs="Arial"/>
          <w:sz w:val="24"/>
          <w:szCs w:val="24"/>
        </w:rPr>
        <w:t>A seleção ocorrerá mediante Pregão Eletrônico, por se tratar de bens comuns, com critério de julgamento de menor preço por item. Não será utilizado Sistema de Registro de Preços. Os quatro itens serão processados separadamente, preservando as diferenças técnicas e a rastreabilidade das duas emendas.</w:t>
      </w:r>
    </w:p>
    <w:p w14:paraId="01EB6BD3" w14:textId="77777777" w:rsidR="007C609E" w:rsidRPr="006272F9" w:rsidRDefault="00000000" w:rsidP="006272F9">
      <w:pPr>
        <w:jc w:val="both"/>
        <w:rPr>
          <w:rFonts w:cs="Arial"/>
          <w:sz w:val="24"/>
          <w:szCs w:val="24"/>
        </w:rPr>
      </w:pPr>
      <w:r w:rsidRPr="006272F9">
        <w:rPr>
          <w:rFonts w:cs="Arial"/>
          <w:sz w:val="24"/>
          <w:szCs w:val="24"/>
        </w:rPr>
        <w:t>Como o valor total estimado de cada item é inferior a R$ 80.000,00, aplicar-se-á, em princípio, a participação exclusiva de microempresas e empresas de pequeno porte, inclusive equiparadas quando legalmente aptas, nos termos do art. 48, I, da Lei Complementar nº 123/2006, ressalvadas as hipóteses do art. 49, que deverão ser previamente avaliadas e justificadas nos autos.</w:t>
      </w:r>
    </w:p>
    <w:p w14:paraId="3F941FF8"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5. PRAZO, LOCAL E CONDIÇÕES DE ENTREGA</w:t>
      </w:r>
    </w:p>
    <w:p w14:paraId="309B4E48" w14:textId="77777777" w:rsidR="007C609E" w:rsidRPr="006272F9" w:rsidRDefault="00000000" w:rsidP="006272F9">
      <w:pPr>
        <w:jc w:val="both"/>
        <w:rPr>
          <w:rFonts w:cs="Arial"/>
          <w:sz w:val="24"/>
          <w:szCs w:val="24"/>
        </w:rPr>
      </w:pPr>
      <w:r w:rsidRPr="006272F9">
        <w:rPr>
          <w:rFonts w:cs="Arial"/>
          <w:sz w:val="24"/>
          <w:szCs w:val="24"/>
        </w:rPr>
        <w:t>A entrega deverá ocorrer em até 30 (trinta) dias corridos, contados do recebimento da ordem de fornecimento, nota de empenho ou instrumento equivalente, em local indicado pela Secretaria Municipal de Saúde, no Município de Barrolândia – TO. Prorrogação somente poderá ser admitida por motivo superveniente, comprovado e aceito pela Administração antes do término do prazo.</w:t>
      </w:r>
    </w:p>
    <w:p w14:paraId="5116DAD3" w14:textId="77777777" w:rsidR="007C609E" w:rsidRPr="006272F9" w:rsidRDefault="00000000" w:rsidP="006272F9">
      <w:pPr>
        <w:jc w:val="both"/>
        <w:rPr>
          <w:rFonts w:cs="Arial"/>
          <w:sz w:val="24"/>
          <w:szCs w:val="24"/>
        </w:rPr>
      </w:pPr>
      <w:r w:rsidRPr="006272F9">
        <w:rPr>
          <w:rFonts w:cs="Arial"/>
          <w:sz w:val="24"/>
          <w:szCs w:val="24"/>
        </w:rPr>
        <w:t>Os veículos deverão ser entregues totalmente montados, revisados, abastecidos em quantidade suficiente para conferência funcional, emplacados e licenciados, acompanhados de nota fiscal, CRLV-e ou documentação equivalente disponível, manuais, chaves, comprovantes de garantia e demais documentos exigidos.</w:t>
      </w:r>
    </w:p>
    <w:p w14:paraId="74D5B31B"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6. RECEBIMENTO E INSPEÇÃO</w:t>
      </w:r>
    </w:p>
    <w:p w14:paraId="45450693" w14:textId="77777777" w:rsidR="007C609E" w:rsidRPr="006272F9" w:rsidRDefault="00000000" w:rsidP="006272F9">
      <w:pPr>
        <w:jc w:val="both"/>
        <w:rPr>
          <w:rFonts w:cs="Arial"/>
          <w:sz w:val="24"/>
          <w:szCs w:val="24"/>
        </w:rPr>
      </w:pPr>
      <w:r w:rsidRPr="006272F9">
        <w:rPr>
          <w:rFonts w:cs="Arial"/>
          <w:sz w:val="24"/>
          <w:szCs w:val="24"/>
        </w:rPr>
        <w:t>O recebimento provisório ocorrerá no ato da entrega para conferência inicial. O recebimento definitivo ocorrerá em até 10 (dez) dias úteis após verificação da conformidade das especificações, marca/modelo/versão, numeração de chassi, documentação, estado geral, itens obrigatórios e funcionamento. A assinatura de recibo de entrega não implica aceitação definitiva de bem em desconformidade.</w:t>
      </w:r>
    </w:p>
    <w:p w14:paraId="041A014F"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7. OBRIGAÇÕES DA CONTRATADA</w:t>
      </w:r>
    </w:p>
    <w:p w14:paraId="74B0E73F" w14:textId="77777777" w:rsidR="007C609E" w:rsidRPr="006272F9" w:rsidRDefault="00000000" w:rsidP="006272F9">
      <w:pPr>
        <w:pStyle w:val="Commarcadores"/>
        <w:jc w:val="both"/>
        <w:rPr>
          <w:rFonts w:cs="Arial"/>
          <w:sz w:val="24"/>
          <w:szCs w:val="24"/>
        </w:rPr>
      </w:pPr>
      <w:r w:rsidRPr="006272F9">
        <w:rPr>
          <w:rFonts w:cs="Arial"/>
          <w:sz w:val="24"/>
          <w:szCs w:val="24"/>
        </w:rPr>
        <w:t>entregar os bens no prazo e em conformidade integral com a proposta e este TR;</w:t>
      </w:r>
    </w:p>
    <w:p w14:paraId="41A45AE4" w14:textId="77777777" w:rsidR="007C609E" w:rsidRPr="006272F9" w:rsidRDefault="00000000" w:rsidP="006272F9">
      <w:pPr>
        <w:pStyle w:val="Commarcadores"/>
        <w:jc w:val="both"/>
        <w:rPr>
          <w:rFonts w:cs="Arial"/>
          <w:sz w:val="24"/>
          <w:szCs w:val="24"/>
        </w:rPr>
      </w:pPr>
      <w:r w:rsidRPr="006272F9">
        <w:rPr>
          <w:rFonts w:cs="Arial"/>
          <w:sz w:val="24"/>
          <w:szCs w:val="24"/>
        </w:rPr>
        <w:t>substituir, sem ônus, bem recusado por defeito, avaria ou divergência de especificação;</w:t>
      </w:r>
    </w:p>
    <w:p w14:paraId="593FB22C" w14:textId="77777777" w:rsidR="007C609E" w:rsidRPr="006272F9" w:rsidRDefault="00000000" w:rsidP="006272F9">
      <w:pPr>
        <w:pStyle w:val="Commarcadores"/>
        <w:jc w:val="both"/>
        <w:rPr>
          <w:rFonts w:cs="Arial"/>
          <w:sz w:val="24"/>
          <w:szCs w:val="24"/>
        </w:rPr>
      </w:pPr>
      <w:r w:rsidRPr="006272F9">
        <w:rPr>
          <w:rFonts w:cs="Arial"/>
          <w:sz w:val="24"/>
          <w:szCs w:val="24"/>
        </w:rPr>
        <w:t>responder por vícios, defeitos e danos decorrentes do fornecimento;</w:t>
      </w:r>
    </w:p>
    <w:p w14:paraId="7BA3178D" w14:textId="77777777" w:rsidR="007C609E" w:rsidRPr="006272F9" w:rsidRDefault="00000000" w:rsidP="006272F9">
      <w:pPr>
        <w:pStyle w:val="Commarcadores"/>
        <w:jc w:val="both"/>
        <w:rPr>
          <w:rFonts w:cs="Arial"/>
          <w:sz w:val="24"/>
          <w:szCs w:val="24"/>
        </w:rPr>
      </w:pPr>
      <w:r w:rsidRPr="006272F9">
        <w:rPr>
          <w:rFonts w:cs="Arial"/>
          <w:sz w:val="24"/>
          <w:szCs w:val="24"/>
        </w:rPr>
        <w:t>manter as condições de habilitação durante a execução;</w:t>
      </w:r>
    </w:p>
    <w:p w14:paraId="3ACB66B2" w14:textId="77777777" w:rsidR="007C609E" w:rsidRPr="006272F9" w:rsidRDefault="00000000" w:rsidP="006272F9">
      <w:pPr>
        <w:pStyle w:val="Commarcadores"/>
        <w:jc w:val="both"/>
        <w:rPr>
          <w:rFonts w:cs="Arial"/>
          <w:sz w:val="24"/>
          <w:szCs w:val="24"/>
        </w:rPr>
      </w:pPr>
      <w:r w:rsidRPr="006272F9">
        <w:rPr>
          <w:rFonts w:cs="Arial"/>
          <w:sz w:val="24"/>
          <w:szCs w:val="24"/>
        </w:rPr>
        <w:t>prestar assistência em garantia e providenciar reparos em prazo razoável, sem transferir custos indevidos à Administração;</w:t>
      </w:r>
    </w:p>
    <w:p w14:paraId="282F98DA" w14:textId="77777777" w:rsidR="007C609E" w:rsidRPr="006272F9" w:rsidRDefault="00000000" w:rsidP="006272F9">
      <w:pPr>
        <w:pStyle w:val="Commarcadores"/>
        <w:jc w:val="both"/>
        <w:rPr>
          <w:rFonts w:cs="Arial"/>
          <w:sz w:val="24"/>
          <w:szCs w:val="24"/>
        </w:rPr>
      </w:pPr>
      <w:r w:rsidRPr="006272F9">
        <w:rPr>
          <w:rFonts w:cs="Arial"/>
          <w:sz w:val="24"/>
          <w:szCs w:val="24"/>
        </w:rPr>
        <w:t>fornecer documentos necessários ao registro patrimonial e à prestação de contas das emendas;</w:t>
      </w:r>
    </w:p>
    <w:p w14:paraId="4507A309" w14:textId="77777777" w:rsidR="007C609E" w:rsidRPr="006272F9" w:rsidRDefault="00000000" w:rsidP="006272F9">
      <w:pPr>
        <w:pStyle w:val="Commarcadores"/>
        <w:jc w:val="both"/>
        <w:rPr>
          <w:rFonts w:cs="Arial"/>
          <w:sz w:val="24"/>
          <w:szCs w:val="24"/>
        </w:rPr>
      </w:pPr>
      <w:r w:rsidRPr="006272F9">
        <w:rPr>
          <w:rFonts w:cs="Arial"/>
          <w:sz w:val="24"/>
          <w:szCs w:val="24"/>
        </w:rPr>
        <w:t>identificar na nota fiscal e demais documentos, quando solicitado, o item e a emenda correspondente.</w:t>
      </w:r>
    </w:p>
    <w:p w14:paraId="510660D1" w14:textId="77777777" w:rsidR="007C609E" w:rsidRPr="006272F9" w:rsidRDefault="00000000" w:rsidP="006272F9">
      <w:pPr>
        <w:pStyle w:val="Ttulo1"/>
        <w:jc w:val="both"/>
        <w:rPr>
          <w:rFonts w:ascii="Arial" w:hAnsi="Arial" w:cs="Arial"/>
          <w:szCs w:val="24"/>
        </w:rPr>
      </w:pPr>
      <w:r w:rsidRPr="006272F9">
        <w:rPr>
          <w:rFonts w:ascii="Arial" w:hAnsi="Arial" w:cs="Arial"/>
          <w:szCs w:val="24"/>
        </w:rPr>
        <w:lastRenderedPageBreak/>
        <w:t>8. OBRIGAÇÕES DA CONTRATANTE</w:t>
      </w:r>
    </w:p>
    <w:p w14:paraId="7CBD15E0" w14:textId="77777777" w:rsidR="007C609E" w:rsidRPr="006272F9" w:rsidRDefault="00000000" w:rsidP="00B82824">
      <w:pPr>
        <w:pStyle w:val="Commarcadores"/>
        <w:jc w:val="both"/>
        <w:rPr>
          <w:rFonts w:cs="Arial"/>
          <w:sz w:val="24"/>
          <w:szCs w:val="24"/>
        </w:rPr>
      </w:pPr>
      <w:r w:rsidRPr="006272F9">
        <w:rPr>
          <w:rFonts w:cs="Arial"/>
          <w:sz w:val="24"/>
          <w:szCs w:val="24"/>
        </w:rPr>
        <w:t>emitir ordem de fornecimento e disponibilizar informações necessárias;</w:t>
      </w:r>
    </w:p>
    <w:p w14:paraId="7CFD3E6A" w14:textId="77777777" w:rsidR="007C609E" w:rsidRPr="006272F9" w:rsidRDefault="00000000" w:rsidP="00B82824">
      <w:pPr>
        <w:pStyle w:val="Commarcadores"/>
        <w:jc w:val="both"/>
        <w:rPr>
          <w:rFonts w:cs="Arial"/>
          <w:sz w:val="24"/>
          <w:szCs w:val="24"/>
        </w:rPr>
      </w:pPr>
      <w:r w:rsidRPr="006272F9">
        <w:rPr>
          <w:rFonts w:cs="Arial"/>
          <w:sz w:val="24"/>
          <w:szCs w:val="24"/>
        </w:rPr>
        <w:t>receber, inspecionar e atestar os bens;</w:t>
      </w:r>
    </w:p>
    <w:p w14:paraId="1A505515" w14:textId="77777777" w:rsidR="007C609E" w:rsidRPr="006272F9" w:rsidRDefault="00000000" w:rsidP="00B82824">
      <w:pPr>
        <w:pStyle w:val="Commarcadores"/>
        <w:jc w:val="both"/>
        <w:rPr>
          <w:rFonts w:cs="Arial"/>
          <w:sz w:val="24"/>
          <w:szCs w:val="24"/>
        </w:rPr>
      </w:pPr>
      <w:r w:rsidRPr="006272F9">
        <w:rPr>
          <w:rFonts w:cs="Arial"/>
          <w:sz w:val="24"/>
          <w:szCs w:val="24"/>
        </w:rPr>
        <w:t>registrar os veículos no patrimônio e manter a rastreabilidade da fonte de recurso;</w:t>
      </w:r>
    </w:p>
    <w:p w14:paraId="16DCC1C0" w14:textId="77777777" w:rsidR="007C609E" w:rsidRPr="006272F9" w:rsidRDefault="00000000" w:rsidP="00B82824">
      <w:pPr>
        <w:pStyle w:val="Commarcadores"/>
        <w:jc w:val="both"/>
        <w:rPr>
          <w:rFonts w:cs="Arial"/>
          <w:sz w:val="24"/>
          <w:szCs w:val="24"/>
        </w:rPr>
      </w:pPr>
      <w:r w:rsidRPr="006272F9">
        <w:rPr>
          <w:rFonts w:cs="Arial"/>
          <w:sz w:val="24"/>
          <w:szCs w:val="24"/>
        </w:rPr>
        <w:t>efetuar o pagamento após liquidação regular;</w:t>
      </w:r>
    </w:p>
    <w:p w14:paraId="2E01A24A" w14:textId="77777777" w:rsidR="007C609E" w:rsidRPr="006272F9" w:rsidRDefault="00000000" w:rsidP="00B82824">
      <w:pPr>
        <w:pStyle w:val="Commarcadores"/>
        <w:jc w:val="both"/>
        <w:rPr>
          <w:rFonts w:cs="Arial"/>
          <w:sz w:val="24"/>
          <w:szCs w:val="24"/>
        </w:rPr>
      </w:pPr>
      <w:r w:rsidRPr="006272F9">
        <w:rPr>
          <w:rFonts w:cs="Arial"/>
          <w:sz w:val="24"/>
          <w:szCs w:val="24"/>
        </w:rPr>
        <w:t>acompanhar e fiscalizar a execução, registrando ocorrências e adotando medidas cabíveis.</w:t>
      </w:r>
    </w:p>
    <w:p w14:paraId="0FBBCBED"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9. HABILITAÇÃO</w:t>
      </w:r>
    </w:p>
    <w:p w14:paraId="328AEAD0" w14:textId="77777777" w:rsidR="007C609E" w:rsidRPr="006272F9" w:rsidRDefault="00000000" w:rsidP="006272F9">
      <w:pPr>
        <w:jc w:val="both"/>
        <w:rPr>
          <w:rFonts w:cs="Arial"/>
          <w:sz w:val="24"/>
          <w:szCs w:val="24"/>
        </w:rPr>
      </w:pPr>
      <w:r w:rsidRPr="006272F9">
        <w:rPr>
          <w:rFonts w:cs="Arial"/>
          <w:sz w:val="24"/>
          <w:szCs w:val="24"/>
        </w:rPr>
        <w:t>Serão exigidos documentos de habilitação jurídica, fiscal, social e trabalhista e econômico-financeira previstos no edital, limitados ao necessário e proporcional ao objeto. Para qualificação técnica poderá ser exigido atestado de capacidade técnica que demonstre fornecimento anterior de veículos, motocicletas ou bens de natureza e complexidade logística compatíveis, vedados quantitativos mínimos desproporcionais e restrições sem relação com os riscos da contratação.</w:t>
      </w:r>
    </w:p>
    <w:p w14:paraId="165EEB62"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10. GESTÃO E FISCALIZAÇÃO</w:t>
      </w:r>
    </w:p>
    <w:p w14:paraId="5278BC75" w14:textId="77777777" w:rsidR="007C609E" w:rsidRPr="006272F9" w:rsidRDefault="00000000" w:rsidP="006272F9">
      <w:pPr>
        <w:jc w:val="both"/>
        <w:rPr>
          <w:rFonts w:cs="Arial"/>
          <w:sz w:val="24"/>
          <w:szCs w:val="24"/>
        </w:rPr>
      </w:pPr>
      <w:r w:rsidRPr="006272F9">
        <w:rPr>
          <w:rFonts w:cs="Arial"/>
          <w:sz w:val="24"/>
          <w:szCs w:val="24"/>
        </w:rPr>
        <w:t>A execução será acompanhada por gestor e fiscal formalmente designados, nos termos do art. 117 da Lei nº 14.133/2021. A fiscalização registrará prazos, documentação, conformidade técnica, ocorrências, substituições, garantia e a correspondência entre cada item e sua fonte de recurso.</w:t>
      </w:r>
    </w:p>
    <w:p w14:paraId="7CE2B4A2"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11. PAGAMENTO</w:t>
      </w:r>
    </w:p>
    <w:p w14:paraId="2038ACC8" w14:textId="77777777" w:rsidR="007C609E" w:rsidRPr="006272F9" w:rsidRDefault="00000000" w:rsidP="006272F9">
      <w:pPr>
        <w:jc w:val="both"/>
        <w:rPr>
          <w:rFonts w:cs="Arial"/>
          <w:sz w:val="24"/>
          <w:szCs w:val="24"/>
        </w:rPr>
      </w:pPr>
      <w:r w:rsidRPr="006272F9">
        <w:rPr>
          <w:rFonts w:cs="Arial"/>
          <w:sz w:val="24"/>
          <w:szCs w:val="24"/>
        </w:rPr>
        <w:t>O pagamento será efetuado em até 30 (trinta) dias após o recebimento definitivo, liquidação da despesa e apresentação da nota fiscal regular, observada a ordem cronológica e o art. 141 da Lei nº 14.133/2021. Não haverá pagamento antecipado, salvo hipótese legal excepcional devidamente justificada.</w:t>
      </w:r>
    </w:p>
    <w:p w14:paraId="394926EF"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12. REAJUSTE E EQUILÍBRIO ECONÔMICO-FINANCEIRO</w:t>
      </w:r>
    </w:p>
    <w:p w14:paraId="46677418" w14:textId="77777777" w:rsidR="007C609E" w:rsidRPr="006272F9" w:rsidRDefault="00000000" w:rsidP="006272F9">
      <w:pPr>
        <w:jc w:val="both"/>
        <w:rPr>
          <w:rFonts w:cs="Arial"/>
          <w:sz w:val="24"/>
          <w:szCs w:val="24"/>
        </w:rPr>
      </w:pPr>
      <w:r w:rsidRPr="006272F9">
        <w:rPr>
          <w:rFonts w:cs="Arial"/>
          <w:sz w:val="24"/>
          <w:szCs w:val="24"/>
        </w:rPr>
        <w:t>Considerando a execução prevista em prazo inferior a 12 meses, não se prevê reajuste ordinário. Permanece assegurado o restabelecimento do equilíbrio econômico-financeiro quando comprovados os pressupostos legais, mediante demonstração do fato superveniente, nexo causal e efetiva repercussão nos custos.</w:t>
      </w:r>
    </w:p>
    <w:p w14:paraId="09DD8B52"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13. SANÇÕES</w:t>
      </w:r>
    </w:p>
    <w:p w14:paraId="13369106" w14:textId="77777777" w:rsidR="007C609E" w:rsidRPr="006272F9" w:rsidRDefault="00000000" w:rsidP="006272F9">
      <w:pPr>
        <w:jc w:val="both"/>
        <w:rPr>
          <w:rFonts w:cs="Arial"/>
          <w:sz w:val="24"/>
          <w:szCs w:val="24"/>
        </w:rPr>
      </w:pPr>
      <w:r w:rsidRPr="006272F9">
        <w:rPr>
          <w:rFonts w:cs="Arial"/>
          <w:sz w:val="24"/>
          <w:szCs w:val="24"/>
        </w:rPr>
        <w:t>O descumprimento sujeitará a contratada às sanções previstas nos arts. 155 a 163 da Lei nº 14.133/2021, assegurados contraditório e ampla defesa. O edital e o instrumento contratual definirão critérios objetivos de multa moratória e compensatória, observados proporcionalidade, gravidade, dano, vantagem auferida e reincidência.</w:t>
      </w:r>
    </w:p>
    <w:p w14:paraId="2F664A8E" w14:textId="77777777" w:rsidR="007C609E" w:rsidRPr="006272F9" w:rsidRDefault="00000000" w:rsidP="006272F9">
      <w:pPr>
        <w:pStyle w:val="Ttulo1"/>
        <w:jc w:val="both"/>
        <w:rPr>
          <w:rFonts w:ascii="Arial" w:hAnsi="Arial" w:cs="Arial"/>
          <w:szCs w:val="24"/>
        </w:rPr>
      </w:pPr>
      <w:r w:rsidRPr="006272F9">
        <w:rPr>
          <w:rFonts w:ascii="Arial" w:hAnsi="Arial" w:cs="Arial"/>
          <w:szCs w:val="24"/>
        </w:rPr>
        <w:lastRenderedPageBreak/>
        <w:t>14. SUSTENTABILIDADE</w:t>
      </w:r>
    </w:p>
    <w:p w14:paraId="0246E5FB" w14:textId="77777777" w:rsidR="007C609E" w:rsidRPr="006272F9" w:rsidRDefault="00000000" w:rsidP="006272F9">
      <w:pPr>
        <w:jc w:val="both"/>
        <w:rPr>
          <w:rFonts w:cs="Arial"/>
          <w:sz w:val="24"/>
          <w:szCs w:val="24"/>
        </w:rPr>
      </w:pPr>
      <w:r w:rsidRPr="006272F9">
        <w:rPr>
          <w:rFonts w:cs="Arial"/>
          <w:sz w:val="24"/>
          <w:szCs w:val="24"/>
        </w:rPr>
        <w:t>Os veículos deverão atender às normas ambientais e de emissões vigentes. Na manutenção futura deverão ser observados descarte ambientalmente adequado e logística reversa de pneus, baterias, óleos lubrificantes, filtros e componentes sujeitos a regime específico.</w:t>
      </w:r>
    </w:p>
    <w:p w14:paraId="74F19117"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15. DOTAÇÃO, ORIGEM DOS RECURSOS E VINCULAÇÃO</w:t>
      </w:r>
    </w:p>
    <w:p w14:paraId="7258276D" w14:textId="77777777" w:rsidR="007C609E" w:rsidRPr="006272F9" w:rsidRDefault="00000000" w:rsidP="006272F9">
      <w:pPr>
        <w:jc w:val="both"/>
        <w:rPr>
          <w:rFonts w:cs="Arial"/>
          <w:sz w:val="24"/>
          <w:szCs w:val="24"/>
        </w:rPr>
      </w:pPr>
      <w:r w:rsidRPr="006272F9">
        <w:rPr>
          <w:rFonts w:cs="Arial"/>
          <w:sz w:val="24"/>
          <w:szCs w:val="24"/>
        </w:rPr>
        <w:t>A despesa está vinculada às Emendas Parlamentares Estaduais nº 010422.00779/2026 e nº 010407.01577/2026, no valor de R$ 75.000,00 cada, totalizando R$ 150.000,00, e à ação 30550.10.301.1165.4529 – Apoio aos Cuidados Primários em Saúde, sem prejuízo do detalhamento da dotação municipal no instrumento de empenho/contratação.</w:t>
      </w:r>
    </w:p>
    <w:p w14:paraId="3AED6C1F" w14:textId="77777777" w:rsidR="007C609E" w:rsidRPr="006272F9" w:rsidRDefault="00000000" w:rsidP="006272F9">
      <w:pPr>
        <w:jc w:val="both"/>
        <w:rPr>
          <w:rFonts w:cs="Arial"/>
          <w:sz w:val="24"/>
          <w:szCs w:val="24"/>
        </w:rPr>
      </w:pPr>
      <w:r w:rsidRPr="006272F9">
        <w:rPr>
          <w:rFonts w:cs="Arial"/>
          <w:sz w:val="24"/>
          <w:szCs w:val="24"/>
        </w:rPr>
        <w:t>O valor das emendas constitui limite de recursos vinculados e não substitui a pesquisa de preços. A contratação observará os preços efetivamente adjudicados, vedada elevação artificial para esgotamento do recurso. Eventual saldo remanescente observará as regras de execução das transferências.</w:t>
      </w:r>
    </w:p>
    <w:p w14:paraId="4159ADEA" w14:textId="77777777" w:rsidR="007C609E" w:rsidRPr="006272F9" w:rsidRDefault="00000000" w:rsidP="006272F9">
      <w:pPr>
        <w:pStyle w:val="Ttulo1"/>
        <w:jc w:val="both"/>
        <w:rPr>
          <w:rFonts w:ascii="Arial" w:hAnsi="Arial" w:cs="Arial"/>
          <w:szCs w:val="24"/>
        </w:rPr>
      </w:pPr>
      <w:r w:rsidRPr="006272F9">
        <w:rPr>
          <w:rFonts w:ascii="Arial" w:hAnsi="Arial" w:cs="Arial"/>
          <w:szCs w:val="24"/>
        </w:rPr>
        <w:t>16. SEGURANÇA JURÍDICA E RASTREABILIDADE</w:t>
      </w:r>
    </w:p>
    <w:p w14:paraId="2871BCE1" w14:textId="77777777" w:rsidR="007C609E" w:rsidRPr="006272F9" w:rsidRDefault="00000000" w:rsidP="006272F9">
      <w:pPr>
        <w:jc w:val="both"/>
        <w:rPr>
          <w:rFonts w:cs="Arial"/>
          <w:sz w:val="24"/>
          <w:szCs w:val="24"/>
        </w:rPr>
      </w:pPr>
      <w:r w:rsidRPr="006272F9">
        <w:rPr>
          <w:rFonts w:cs="Arial"/>
          <w:sz w:val="24"/>
          <w:szCs w:val="24"/>
        </w:rPr>
        <w:t>Antes da publicação do edital, DFD, ETP, TR, Memorial de Cálculo, Pesquisa PNCP, Edital e sistema eletrônico deverão estar harmonizados quanto às duas emendas, 06 motocicletas, quatro itens, especificações, quantitativos e valores. Cada item deverá permanecer vinculado à respectiva emenda no empenho, recebimento, tombamento e prestação de contas. Eventual alteração do objeto aprovado deverá ser previamente autorizada pelo órgão concedente quando exigível.</w:t>
      </w:r>
    </w:p>
    <w:p w14:paraId="2E67D988" w14:textId="77777777" w:rsidR="007C609E" w:rsidRPr="006272F9" w:rsidRDefault="007C609E" w:rsidP="006272F9">
      <w:pPr>
        <w:jc w:val="both"/>
        <w:rPr>
          <w:rFonts w:cs="Arial"/>
          <w:sz w:val="24"/>
          <w:szCs w:val="24"/>
        </w:rPr>
      </w:pPr>
    </w:p>
    <w:p w14:paraId="61110F6B" w14:textId="77777777" w:rsidR="007C609E" w:rsidRDefault="00000000" w:rsidP="006272F9">
      <w:pPr>
        <w:jc w:val="right"/>
        <w:rPr>
          <w:rFonts w:cs="Arial"/>
          <w:sz w:val="24"/>
          <w:szCs w:val="24"/>
        </w:rPr>
      </w:pPr>
      <w:r w:rsidRPr="006272F9">
        <w:rPr>
          <w:rFonts w:cs="Arial"/>
          <w:sz w:val="24"/>
          <w:szCs w:val="24"/>
        </w:rPr>
        <w:t>Barrolândia – TO, 17 de agosto de 2026.</w:t>
      </w:r>
    </w:p>
    <w:p w14:paraId="6B1D0D23" w14:textId="77777777" w:rsidR="00B82824" w:rsidRPr="006272F9" w:rsidRDefault="00B82824" w:rsidP="006272F9">
      <w:pPr>
        <w:jc w:val="right"/>
        <w:rPr>
          <w:rFonts w:cs="Arial"/>
          <w:sz w:val="24"/>
          <w:szCs w:val="24"/>
        </w:rPr>
      </w:pPr>
    </w:p>
    <w:p w14:paraId="668973FB" w14:textId="77777777" w:rsidR="007C609E" w:rsidRPr="006272F9" w:rsidRDefault="007C609E" w:rsidP="006272F9">
      <w:pPr>
        <w:jc w:val="both"/>
        <w:rPr>
          <w:rFonts w:cs="Arial"/>
          <w:sz w:val="24"/>
          <w:szCs w:val="24"/>
        </w:rPr>
      </w:pPr>
    </w:p>
    <w:p w14:paraId="4233448B" w14:textId="77777777" w:rsidR="007C609E" w:rsidRPr="006272F9" w:rsidRDefault="007C609E" w:rsidP="006272F9">
      <w:pPr>
        <w:jc w:val="both"/>
        <w:rPr>
          <w:rFonts w:cs="Arial"/>
          <w:sz w:val="24"/>
          <w:szCs w:val="24"/>
        </w:rPr>
      </w:pPr>
    </w:p>
    <w:p w14:paraId="43D9529A" w14:textId="77777777" w:rsidR="007C609E" w:rsidRPr="006272F9" w:rsidRDefault="00000000" w:rsidP="006272F9">
      <w:pPr>
        <w:spacing w:after="0" w:line="240" w:lineRule="auto"/>
        <w:jc w:val="center"/>
        <w:rPr>
          <w:rFonts w:cs="Arial"/>
          <w:sz w:val="24"/>
          <w:szCs w:val="24"/>
        </w:rPr>
      </w:pPr>
      <w:r w:rsidRPr="006272F9">
        <w:rPr>
          <w:rFonts w:cs="Arial"/>
          <w:b/>
          <w:sz w:val="24"/>
          <w:szCs w:val="24"/>
        </w:rPr>
        <w:t>TATIANA OLIVEIRA</w:t>
      </w:r>
    </w:p>
    <w:p w14:paraId="0342AA14" w14:textId="77777777" w:rsidR="007C609E" w:rsidRPr="006272F9" w:rsidRDefault="00000000" w:rsidP="006272F9">
      <w:pPr>
        <w:spacing w:after="0" w:line="240" w:lineRule="auto"/>
        <w:jc w:val="center"/>
        <w:rPr>
          <w:rFonts w:cs="Arial"/>
          <w:sz w:val="24"/>
          <w:szCs w:val="24"/>
        </w:rPr>
      </w:pPr>
      <w:r w:rsidRPr="006272F9">
        <w:rPr>
          <w:rFonts w:cs="Arial"/>
          <w:sz w:val="24"/>
          <w:szCs w:val="24"/>
        </w:rPr>
        <w:t>Secretaria Executiva de Saúde</w:t>
      </w:r>
    </w:p>
    <w:sectPr w:rsidR="007C609E" w:rsidRPr="006272F9" w:rsidSect="00034616">
      <w:headerReference w:type="default" r:id="rId8"/>
      <w:footerReference w:type="default" r:id="rId9"/>
      <w:pgSz w:w="12240" w:h="15840"/>
      <w:pgMar w:top="1020" w:right="1134" w:bottom="10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C8EE1" w14:textId="77777777" w:rsidR="00457E69" w:rsidRDefault="00457E69" w:rsidP="006272F9">
      <w:pPr>
        <w:spacing w:after="0" w:line="240" w:lineRule="auto"/>
      </w:pPr>
      <w:r>
        <w:separator/>
      </w:r>
    </w:p>
  </w:endnote>
  <w:endnote w:type="continuationSeparator" w:id="0">
    <w:p w14:paraId="60E91E18" w14:textId="77777777" w:rsidR="00457E69" w:rsidRDefault="00457E69" w:rsidP="00627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9836"/>
      <w:docPartObj>
        <w:docPartGallery w:val="Page Numbers (Bottom of Page)"/>
        <w:docPartUnique/>
      </w:docPartObj>
    </w:sdtPr>
    <w:sdtContent>
      <w:p w14:paraId="5AE1554A" w14:textId="55B2B7C8" w:rsidR="006272F9" w:rsidRDefault="006272F9">
        <w:pPr>
          <w:pStyle w:val="Rodap"/>
          <w:jc w:val="right"/>
        </w:pPr>
        <w:r>
          <w:fldChar w:fldCharType="begin"/>
        </w:r>
        <w:r>
          <w:instrText>PAGE   \* MERGEFORMAT</w:instrText>
        </w:r>
        <w:r>
          <w:fldChar w:fldCharType="separate"/>
        </w:r>
        <w:r>
          <w:rPr>
            <w:lang w:val="pt-BR"/>
          </w:rPr>
          <w:t>2</w:t>
        </w:r>
        <w:r>
          <w:fldChar w:fldCharType="end"/>
        </w:r>
        <w:r>
          <w:t xml:space="preserve"> de </w:t>
        </w:r>
        <w:r w:rsidR="00B82824">
          <w:t>7</w:t>
        </w:r>
      </w:p>
    </w:sdtContent>
  </w:sdt>
  <w:p w14:paraId="608B3614" w14:textId="77777777" w:rsidR="006272F9" w:rsidRDefault="006272F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B28DD" w14:textId="77777777" w:rsidR="00457E69" w:rsidRDefault="00457E69" w:rsidP="006272F9">
      <w:pPr>
        <w:spacing w:after="0" w:line="240" w:lineRule="auto"/>
      </w:pPr>
      <w:r>
        <w:separator/>
      </w:r>
    </w:p>
  </w:footnote>
  <w:footnote w:type="continuationSeparator" w:id="0">
    <w:p w14:paraId="40979166" w14:textId="77777777" w:rsidR="00457E69" w:rsidRDefault="00457E69" w:rsidP="006272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EC03" w14:textId="7E47476C" w:rsidR="006272F9" w:rsidRDefault="006272F9" w:rsidP="006272F9">
    <w:pPr>
      <w:pStyle w:val="Cabealho"/>
      <w:jc w:val="center"/>
    </w:pPr>
    <w:r>
      <w:rPr>
        <w:noProof/>
      </w:rPr>
      <w:drawing>
        <wp:inline distT="0" distB="0" distL="0" distR="0" wp14:anchorId="0F8C0694" wp14:editId="09E5177D">
          <wp:extent cx="1116000" cy="977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us_logo.png"/>
                  <pic:cNvPicPr/>
                </pic:nvPicPr>
                <pic:blipFill>
                  <a:blip r:embed="rId1"/>
                  <a:stretch>
                    <a:fillRect/>
                  </a:stretch>
                </pic:blipFill>
                <pic:spPr>
                  <a:xfrm>
                    <a:off x="0" y="0"/>
                    <a:ext cx="1116000" cy="9775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ad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ad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mmarcador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mmarcadores"/>
      <w:lvlText w:val=""/>
      <w:lvlJc w:val="left"/>
      <w:pPr>
        <w:tabs>
          <w:tab w:val="num" w:pos="360"/>
        </w:tabs>
        <w:ind w:left="360" w:hanging="360"/>
      </w:pPr>
      <w:rPr>
        <w:rFonts w:ascii="Symbol" w:hAnsi="Symbol" w:hint="default"/>
      </w:rPr>
    </w:lvl>
  </w:abstractNum>
  <w:num w:numId="1" w16cid:durableId="872693977">
    <w:abstractNumId w:val="8"/>
  </w:num>
  <w:num w:numId="2" w16cid:durableId="1257909617">
    <w:abstractNumId w:val="6"/>
  </w:num>
  <w:num w:numId="3" w16cid:durableId="185754005">
    <w:abstractNumId w:val="5"/>
  </w:num>
  <w:num w:numId="4" w16cid:durableId="1206135624">
    <w:abstractNumId w:val="4"/>
  </w:num>
  <w:num w:numId="5" w16cid:durableId="1610815852">
    <w:abstractNumId w:val="7"/>
  </w:num>
  <w:num w:numId="6" w16cid:durableId="69011199">
    <w:abstractNumId w:val="3"/>
  </w:num>
  <w:num w:numId="7" w16cid:durableId="819662484">
    <w:abstractNumId w:val="2"/>
  </w:num>
  <w:num w:numId="8" w16cid:durableId="1691448910">
    <w:abstractNumId w:val="1"/>
  </w:num>
  <w:num w:numId="9" w16cid:durableId="1482189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67A1"/>
    <w:rsid w:val="0015074B"/>
    <w:rsid w:val="0029639D"/>
    <w:rsid w:val="00326F90"/>
    <w:rsid w:val="00421B42"/>
    <w:rsid w:val="00457E69"/>
    <w:rsid w:val="00592684"/>
    <w:rsid w:val="006272F9"/>
    <w:rsid w:val="007C609E"/>
    <w:rsid w:val="00924159"/>
    <w:rsid w:val="00AA1D8D"/>
    <w:rsid w:val="00B47730"/>
    <w:rsid w:val="00B82824"/>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C61CDB"/>
  <w14:defaultImageDpi w14:val="300"/>
  <w15:docId w15:val="{4D2A69CD-5A75-4CE3-BD1A-42044314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Arial" w:hAnsi="Arial"/>
      <w:sz w:val="21"/>
    </w:rPr>
  </w:style>
  <w:style w:type="paragraph" w:styleId="Ttulo1">
    <w:name w:val="heading 1"/>
    <w:basedOn w:val="Normal"/>
    <w:next w:val="Normal"/>
    <w:link w:val="Ttulo1Char"/>
    <w:uiPriority w:val="9"/>
    <w:qFormat/>
    <w:rsid w:val="00FC693F"/>
    <w:pPr>
      <w:keepNext/>
      <w:keepLines/>
      <w:spacing w:before="160" w:after="100"/>
      <w:outlineLvl w:val="0"/>
    </w:pPr>
    <w:rPr>
      <w:rFonts w:asciiTheme="majorHAnsi" w:eastAsiaTheme="majorEastAsia" w:hAnsiTheme="majorHAnsi" w:cstheme="majorBidi"/>
      <w:b/>
      <w:bCs/>
      <w:sz w:val="24"/>
      <w:szCs w:val="28"/>
    </w:rPr>
  </w:style>
  <w:style w:type="paragraph" w:styleId="Ttulo2">
    <w:name w:val="heading 2"/>
    <w:basedOn w:val="Normal"/>
    <w:next w:val="Normal"/>
    <w:link w:val="Ttulo2Char"/>
    <w:uiPriority w:val="9"/>
    <w:unhideWhenUsed/>
    <w:qFormat/>
    <w:rsid w:val="00FC693F"/>
    <w:pPr>
      <w:keepNext/>
      <w:keepLines/>
      <w:spacing w:before="160" w:after="100"/>
      <w:outlineLvl w:val="1"/>
    </w:pPr>
    <w:rPr>
      <w:rFonts w:asciiTheme="majorHAnsi" w:eastAsiaTheme="majorEastAsia" w:hAnsiTheme="majorHAnsi" w:cstheme="majorBidi"/>
      <w:b/>
      <w:bCs/>
      <w:sz w:val="22"/>
      <w:szCs w:val="26"/>
    </w:rPr>
  </w:style>
  <w:style w:type="paragraph" w:styleId="Ttulo3">
    <w:name w:val="heading 3"/>
    <w:basedOn w:val="Normal"/>
    <w:next w:val="Normal"/>
    <w:link w:val="Ttulo3Char"/>
    <w:uiPriority w:val="9"/>
    <w:unhideWhenUsed/>
    <w:qFormat/>
    <w:rsid w:val="00FC693F"/>
    <w:pPr>
      <w:keepNext/>
      <w:keepLines/>
      <w:spacing w:before="160" w:after="100"/>
      <w:outlineLvl w:val="2"/>
    </w:pPr>
    <w:rPr>
      <w:rFonts w:asciiTheme="majorHAnsi" w:eastAsiaTheme="majorEastAsia" w:hAnsiTheme="majorHAnsi" w:cstheme="majorBidi"/>
      <w:b/>
      <w:bCs/>
    </w:rPr>
  </w:style>
  <w:style w:type="paragraph" w:styleId="Ttulo4">
    <w:name w:val="heading 4"/>
    <w:basedOn w:val="Normal"/>
    <w:next w:val="Normal"/>
    <w:link w:val="Ttulo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618BF"/>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E618BF"/>
  </w:style>
  <w:style w:type="paragraph" w:styleId="Rodap">
    <w:name w:val="footer"/>
    <w:basedOn w:val="Normal"/>
    <w:link w:val="RodapChar"/>
    <w:uiPriority w:val="99"/>
    <w:unhideWhenUsed/>
    <w:rsid w:val="00E618BF"/>
    <w:pPr>
      <w:tabs>
        <w:tab w:val="center" w:pos="4680"/>
        <w:tab w:val="right" w:pos="9360"/>
      </w:tabs>
      <w:spacing w:after="0" w:line="240" w:lineRule="auto"/>
    </w:pPr>
  </w:style>
  <w:style w:type="character" w:customStyle="1" w:styleId="RodapChar">
    <w:name w:val="Rodapé Char"/>
    <w:basedOn w:val="Fontepargpadro"/>
    <w:link w:val="Rodap"/>
    <w:uiPriority w:val="99"/>
    <w:rsid w:val="00E618BF"/>
  </w:style>
  <w:style w:type="paragraph" w:styleId="SemEspaamento">
    <w:name w:val="No Spacing"/>
    <w:uiPriority w:val="1"/>
    <w:qFormat/>
    <w:rsid w:val="00FC693F"/>
    <w:pPr>
      <w:spacing w:after="0" w:line="240" w:lineRule="auto"/>
    </w:pPr>
  </w:style>
  <w:style w:type="character" w:customStyle="1" w:styleId="Ttulo1Char">
    <w:name w:val="Título 1 Char"/>
    <w:basedOn w:val="Fontepargpadro"/>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har"/>
    <w:uiPriority w:val="10"/>
    <w:qFormat/>
    <w:rsid w:val="00FC693F"/>
    <w:pPr>
      <w:pBdr>
        <w:bottom w:val="single" w:sz="8" w:space="4" w:color="4F81BD" w:themeColor="accent1"/>
      </w:pBdr>
      <w:spacing w:before="160" w:after="100" w:line="240" w:lineRule="auto"/>
      <w:contextualSpacing/>
    </w:pPr>
    <w:rPr>
      <w:rFonts w:asciiTheme="majorHAnsi" w:eastAsiaTheme="majorEastAsia" w:hAnsiTheme="majorHAnsi" w:cstheme="majorBidi"/>
      <w:b/>
      <w:spacing w:val="5"/>
      <w:kern w:val="28"/>
      <w:sz w:val="28"/>
      <w:szCs w:val="52"/>
    </w:rPr>
  </w:style>
  <w:style w:type="character" w:customStyle="1" w:styleId="TtuloChar">
    <w:name w:val="Título Char"/>
    <w:basedOn w:val="Fontepargpadro"/>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argrafodaLista">
    <w:name w:val="List Paragraph"/>
    <w:basedOn w:val="Normal"/>
    <w:uiPriority w:val="34"/>
    <w:qFormat/>
    <w:rsid w:val="00FC693F"/>
    <w:pPr>
      <w:ind w:left="720"/>
      <w:contextualSpacing/>
    </w:pPr>
  </w:style>
  <w:style w:type="paragraph" w:styleId="Corpodetexto">
    <w:name w:val="Body Text"/>
    <w:basedOn w:val="Normal"/>
    <w:link w:val="CorpodetextoChar"/>
    <w:uiPriority w:val="99"/>
    <w:unhideWhenUsed/>
    <w:rsid w:val="00AA1D8D"/>
  </w:style>
  <w:style w:type="character" w:customStyle="1" w:styleId="CorpodetextoChar">
    <w:name w:val="Corpo de texto Char"/>
    <w:basedOn w:val="Fontepargpadro"/>
    <w:link w:val="Corpodetexto"/>
    <w:uiPriority w:val="99"/>
    <w:rsid w:val="00AA1D8D"/>
  </w:style>
  <w:style w:type="paragraph" w:styleId="Corpodetexto2">
    <w:name w:val="Body Text 2"/>
    <w:basedOn w:val="Normal"/>
    <w:link w:val="Corpodetexto2Char"/>
    <w:uiPriority w:val="99"/>
    <w:unhideWhenUsed/>
    <w:rsid w:val="00AA1D8D"/>
    <w:pPr>
      <w:spacing w:line="480" w:lineRule="auto"/>
    </w:pPr>
  </w:style>
  <w:style w:type="character" w:customStyle="1" w:styleId="Corpodetexto2Char">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rsid w:val="00AA1D8D"/>
    <w:rPr>
      <w:sz w:val="16"/>
      <w:szCs w:val="16"/>
    </w:rPr>
  </w:style>
  <w:style w:type="character" w:customStyle="1" w:styleId="Corpodetexto3Char">
    <w:name w:val="Corpo de texto 3 Char"/>
    <w:basedOn w:val="Fontepargpadro"/>
    <w:link w:val="Corpodetexto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Commarcadores">
    <w:name w:val="List Bullet"/>
    <w:basedOn w:val="Normal"/>
    <w:uiPriority w:val="99"/>
    <w:unhideWhenUsed/>
    <w:rsid w:val="00326F90"/>
    <w:pPr>
      <w:numPr>
        <w:numId w:val="1"/>
      </w:numPr>
      <w:contextualSpacing/>
    </w:pPr>
  </w:style>
  <w:style w:type="paragraph" w:styleId="Commarcadores2">
    <w:name w:val="List Bullet 2"/>
    <w:basedOn w:val="Normal"/>
    <w:uiPriority w:val="99"/>
    <w:unhideWhenUsed/>
    <w:rsid w:val="00326F90"/>
    <w:pPr>
      <w:numPr>
        <w:numId w:val="2"/>
      </w:numPr>
      <w:contextualSpacing/>
    </w:pPr>
  </w:style>
  <w:style w:type="paragraph" w:styleId="Commarcadores3">
    <w:name w:val="List Bullet 3"/>
    <w:basedOn w:val="Normal"/>
    <w:uiPriority w:val="99"/>
    <w:unhideWhenUsed/>
    <w:rsid w:val="00326F90"/>
    <w:pPr>
      <w:numPr>
        <w:numId w:val="3"/>
      </w:numPr>
      <w:contextualSpacing/>
    </w:pPr>
  </w:style>
  <w:style w:type="paragraph" w:styleId="Numerada">
    <w:name w:val="List Number"/>
    <w:basedOn w:val="Normal"/>
    <w:uiPriority w:val="99"/>
    <w:unhideWhenUsed/>
    <w:rsid w:val="00326F90"/>
    <w:pPr>
      <w:numPr>
        <w:numId w:val="5"/>
      </w:numPr>
      <w:contextualSpacing/>
    </w:pPr>
  </w:style>
  <w:style w:type="paragraph" w:styleId="Numerada2">
    <w:name w:val="List Number 2"/>
    <w:basedOn w:val="Normal"/>
    <w:uiPriority w:val="99"/>
    <w:unhideWhenUsed/>
    <w:rsid w:val="0029639D"/>
    <w:pPr>
      <w:numPr>
        <w:numId w:val="6"/>
      </w:numPr>
      <w:contextualSpacing/>
    </w:pPr>
  </w:style>
  <w:style w:type="paragraph" w:styleId="Numerada3">
    <w:name w:val="List Number 3"/>
    <w:basedOn w:val="Normal"/>
    <w:uiPriority w:val="99"/>
    <w:unhideWhenUsed/>
    <w:rsid w:val="0029639D"/>
    <w:pPr>
      <w:numPr>
        <w:numId w:val="7"/>
      </w:numPr>
      <w:contextualSpacing/>
    </w:pPr>
  </w:style>
  <w:style w:type="paragraph" w:styleId="Listadecontinuao">
    <w:name w:val="List Continue"/>
    <w:basedOn w:val="Normal"/>
    <w:uiPriority w:val="99"/>
    <w:unhideWhenUsed/>
    <w:rsid w:val="0029639D"/>
    <w:pPr>
      <w:ind w:left="360"/>
      <w:contextualSpacing/>
    </w:pPr>
  </w:style>
  <w:style w:type="paragraph" w:styleId="Listadecontinuao2">
    <w:name w:val="List Continue 2"/>
    <w:basedOn w:val="Normal"/>
    <w:uiPriority w:val="99"/>
    <w:unhideWhenUsed/>
    <w:rsid w:val="0029639D"/>
    <w:pPr>
      <w:ind w:left="720"/>
      <w:contextualSpacing/>
    </w:pPr>
  </w:style>
  <w:style w:type="paragraph" w:styleId="Listadecontinuao3">
    <w:name w:val="List Continue 3"/>
    <w:basedOn w:val="Normal"/>
    <w:uiPriority w:val="99"/>
    <w:unhideWhenUsed/>
    <w:rsid w:val="0029639D"/>
    <w:pPr>
      <w:ind w:left="1080"/>
      <w:contextualSpacing/>
    </w:pPr>
  </w:style>
  <w:style w:type="paragraph" w:styleId="Textodemacro">
    <w:name w:val="macro"/>
    <w:link w:val="Textode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demacroChar">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rsid w:val="00FC693F"/>
    <w:rPr>
      <w:i/>
      <w:iCs/>
      <w:color w:val="000000" w:themeColor="text1"/>
    </w:rPr>
  </w:style>
  <w:style w:type="character" w:customStyle="1" w:styleId="CitaoChar">
    <w:name w:val="Citação Char"/>
    <w:basedOn w:val="Fontepargpadro"/>
    <w:link w:val="Citao"/>
    <w:uiPriority w:val="29"/>
    <w:rsid w:val="00FC693F"/>
    <w:rPr>
      <w:i/>
      <w:iCs/>
      <w:color w:val="000000" w:themeColor="text1"/>
    </w:rPr>
  </w:style>
  <w:style w:type="character" w:customStyle="1" w:styleId="Ttulo4Char">
    <w:name w:val="Título 4 Char"/>
    <w:basedOn w:val="Fontepargpadro"/>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har">
    <w:name w:val="Título 9 Char"/>
    <w:basedOn w:val="Fontepargpadro"/>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orte">
    <w:name w:val="Strong"/>
    <w:basedOn w:val="Fontepargpadro"/>
    <w:uiPriority w:val="22"/>
    <w:qFormat/>
    <w:rsid w:val="00FC693F"/>
    <w:rPr>
      <w:b/>
      <w:bCs/>
    </w:rPr>
  </w:style>
  <w:style w:type="character" w:styleId="nfase">
    <w:name w:val="Emphasis"/>
    <w:basedOn w:val="Fontepargpadro"/>
    <w:uiPriority w:val="20"/>
    <w:qFormat/>
    <w:rsid w:val="00FC693F"/>
    <w:rPr>
      <w:i/>
      <w:iCs/>
    </w:rPr>
  </w:style>
  <w:style w:type="paragraph" w:styleId="CitaoIntensa">
    <w:name w:val="Intense Quote"/>
    <w:basedOn w:val="Normal"/>
    <w:next w:val="Normal"/>
    <w:link w:val="CitaoIntens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FC693F"/>
    <w:rPr>
      <w:b/>
      <w:bCs/>
      <w:i/>
      <w:iCs/>
      <w:color w:val="4F81BD" w:themeColor="accent1"/>
    </w:rPr>
  </w:style>
  <w:style w:type="character" w:styleId="nfaseSutil">
    <w:name w:val="Subtle Emphasis"/>
    <w:basedOn w:val="Fontepargpadro"/>
    <w:uiPriority w:val="19"/>
    <w:qFormat/>
    <w:rsid w:val="00FC693F"/>
    <w:rPr>
      <w:i/>
      <w:iCs/>
      <w:color w:val="808080" w:themeColor="text1" w:themeTint="7F"/>
    </w:rPr>
  </w:style>
  <w:style w:type="character" w:styleId="nfaseIntensa">
    <w:name w:val="Intense Emphasis"/>
    <w:basedOn w:val="Fontepargpadro"/>
    <w:uiPriority w:val="21"/>
    <w:qFormat/>
    <w:rsid w:val="00FC693F"/>
    <w:rPr>
      <w:b/>
      <w:bCs/>
      <w:i/>
      <w:iCs/>
      <w:color w:val="4F81BD" w:themeColor="accent1"/>
    </w:rPr>
  </w:style>
  <w:style w:type="character" w:styleId="RefernciaSutil">
    <w:name w:val="Subtle Reference"/>
    <w:basedOn w:val="Fontepargpadro"/>
    <w:uiPriority w:val="31"/>
    <w:qFormat/>
    <w:rsid w:val="00FC693F"/>
    <w:rPr>
      <w:smallCaps/>
      <w:color w:val="C0504D" w:themeColor="accent2"/>
      <w:u w:val="single"/>
    </w:rPr>
  </w:style>
  <w:style w:type="character" w:styleId="RefernciaIntensa">
    <w:name w:val="Intense Reference"/>
    <w:basedOn w:val="Fontepargpadro"/>
    <w:uiPriority w:val="32"/>
    <w:qFormat/>
    <w:rsid w:val="00FC693F"/>
    <w:rPr>
      <w:b/>
      <w:bCs/>
      <w:smallCaps/>
      <w:color w:val="C0504D" w:themeColor="accent2"/>
      <w:spacing w:val="5"/>
      <w:u w:val="single"/>
    </w:rPr>
  </w:style>
  <w:style w:type="character" w:styleId="TtulodoLivro">
    <w:name w:val="Book Title"/>
    <w:basedOn w:val="Fontepargpadro"/>
    <w:uiPriority w:val="33"/>
    <w:qFormat/>
    <w:rsid w:val="00FC693F"/>
    <w:rPr>
      <w:b/>
      <w:bCs/>
      <w:smallCaps/>
      <w:spacing w:val="5"/>
    </w:rPr>
  </w:style>
  <w:style w:type="paragraph" w:styleId="CabealhodoSumrio">
    <w:name w:val="TOC Heading"/>
    <w:basedOn w:val="Ttulo1"/>
    <w:next w:val="Normal"/>
    <w:uiPriority w:val="39"/>
    <w:semiHidden/>
    <w:unhideWhenUsed/>
    <w:qFormat/>
    <w:rsid w:val="00FC693F"/>
    <w:pPr>
      <w:outlineLvl w:val="9"/>
    </w:pPr>
  </w:style>
  <w:style w:type="table" w:styleId="Tabelacomgrade">
    <w:name w:val="Table Grid"/>
    <w:basedOn w:val="Tabe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2">
    <w:name w:val="Light Shading Accent 2"/>
    <w:basedOn w:val="Tabe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mentoClaro-nfase5">
    <w:name w:val="Light Shading Accent 5"/>
    <w:basedOn w:val="Tabe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mentoClaro-nfase6">
    <w:name w:val="Light Shading Accent 6"/>
    <w:basedOn w:val="Tabe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e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dia2">
    <w:name w:val="Medium Lis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1">
    <w:name w:val="Medium List 2 Accent 1"/>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2">
    <w:name w:val="Medium List 2 Accen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3">
    <w:name w:val="Medium List 2 Accent 3"/>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4">
    <w:name w:val="Medium List 2 Accent 4"/>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5">
    <w:name w:val="Medium List 2 Accent 5"/>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6">
    <w:name w:val="Medium List 2 Accent 6"/>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adeMdia2">
    <w:name w:val="Medium Grid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adeMdia2-nfase1">
    <w:name w:val="Medium Grid 2 Accent 1"/>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adeMdia2-nfase2">
    <w:name w:val="Medium Grid 2 Accent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adeMdia2-nfase3">
    <w:name w:val="Medium Grid 2 Accent 3"/>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adeMdia2-nfase4">
    <w:name w:val="Medium Grid 2 Accent 4"/>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2-nfase5">
    <w:name w:val="Medium Grid 2 Accent 5"/>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adeMdia2-nfase6">
    <w:name w:val="Medium Grid 2 Accent 6"/>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1730</Words>
  <Characters>9347</Characters>
  <Application>Microsoft Office Word</Application>
  <DocSecurity>0</DocSecurity>
  <Lines>77</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Náira Cavalcante</cp:lastModifiedBy>
  <cp:revision>3</cp:revision>
  <dcterms:created xsi:type="dcterms:W3CDTF">2013-12-23T23:15:00Z</dcterms:created>
  <dcterms:modified xsi:type="dcterms:W3CDTF">2026-08-21T12:54:00Z</dcterms:modified>
  <cp:category/>
</cp:coreProperties>
</file>